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0FEE" w14:textId="77777777" w:rsidR="0017206E" w:rsidRPr="0017206E" w:rsidRDefault="0017206E" w:rsidP="0017206E">
      <w:pPr>
        <w:pStyle w:val="Heading2"/>
        <w:rPr>
          <w:lang w:val="el-GR"/>
        </w:rPr>
      </w:pPr>
      <w:bookmarkStart w:id="0" w:name="_Toc141689800"/>
      <w:bookmarkStart w:id="1" w:name="_Toc149578061"/>
      <w:bookmarkStart w:id="2" w:name="_Toc192610994"/>
      <w:r w:rsidRPr="0017206E">
        <w:rPr>
          <w:lang w:val="el-GR"/>
        </w:rPr>
        <w:t xml:space="preserve">ΠΑΡΑΡΤΗΜΑ </w:t>
      </w:r>
      <w:r w:rsidRPr="006937D9">
        <w:t>VI</w:t>
      </w:r>
      <w:r w:rsidRPr="0017206E">
        <w:rPr>
          <w:lang w:val="el-GR"/>
        </w:rPr>
        <w:t>Ι</w:t>
      </w:r>
      <w:r w:rsidRPr="006937D9">
        <w:t>I</w:t>
      </w:r>
      <w:r w:rsidRPr="0017206E">
        <w:rPr>
          <w:lang w:val="el-GR"/>
        </w:rPr>
        <w:t>: ΔΙΚΑΙΟΛΟΓΗΤΙΚΑ ΓΙΑ ΤΗΝ ΚΑΤΑΒΟΛΗ ΤΗΣ ΕΠΙΧΟΡΗΓΗΣΗΣ</w:t>
      </w:r>
      <w:bookmarkEnd w:id="0"/>
      <w:bookmarkEnd w:id="1"/>
      <w:bookmarkEnd w:id="2"/>
    </w:p>
    <w:p w14:paraId="77EE0B87" w14:textId="77777777" w:rsidR="0017206E" w:rsidRPr="006937D9" w:rsidRDefault="0017206E" w:rsidP="0017206E">
      <w:pPr>
        <w:spacing w:before="40" w:after="40" w:line="288"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Για την καταβολής επιχορήγησης απαιτείται η προσκόμιση των κάτωθι παραδοτέων:</w:t>
      </w:r>
    </w:p>
    <w:p w14:paraId="023D33BB" w14:textId="77777777" w:rsidR="0017206E" w:rsidRPr="006937D9" w:rsidRDefault="0017206E" w:rsidP="0017206E">
      <w:pPr>
        <w:numPr>
          <w:ilvl w:val="0"/>
          <w:numId w:val="1"/>
        </w:numPr>
        <w:spacing w:before="40" w:after="40" w:line="288" w:lineRule="auto"/>
        <w:ind w:left="426"/>
        <w:rPr>
          <w:rFonts w:asciiTheme="minorHAnsi" w:hAnsiTheme="minorHAnsi" w:cstheme="minorHAnsi"/>
          <w:sz w:val="22"/>
          <w:szCs w:val="22"/>
          <w:lang w:val="el-GR"/>
        </w:rPr>
      </w:pPr>
      <w:r w:rsidRPr="006937D9">
        <w:rPr>
          <w:rFonts w:asciiTheme="minorHAnsi" w:hAnsiTheme="minorHAnsi" w:cstheme="minorHAnsi"/>
          <w:b/>
          <w:bCs/>
          <w:sz w:val="22"/>
          <w:szCs w:val="22"/>
          <w:lang w:val="el-GR"/>
        </w:rPr>
        <w:t>Φορολογική ενημερότητα σε ισχύ</w:t>
      </w:r>
      <w:r w:rsidRPr="006937D9">
        <w:rPr>
          <w:rFonts w:asciiTheme="minorHAnsi" w:hAnsiTheme="minorHAnsi" w:cstheme="minorHAnsi"/>
          <w:sz w:val="22"/>
          <w:szCs w:val="22"/>
          <w:lang w:val="el-GR"/>
        </w:rPr>
        <w:t>, για είσπραξη χρημάτων από φορείς Κεντρικής Διοίκησης σε ισχύ. Διευκρινίζεται ότι, στην φορολογική ενημερότητα δε θα πρέπει να υπάρχει όρος παρακράτησης, βάσει των διατάξεων του άρθρου 61 του Ν. 4914/2022, παρ.2 &amp; 3/ ΦΕΚ 61/21.03.2022.</w:t>
      </w:r>
      <w:r>
        <w:rPr>
          <w:rFonts w:asciiTheme="minorHAnsi" w:hAnsiTheme="minorHAnsi" w:cstheme="minorHAnsi"/>
          <w:sz w:val="22"/>
          <w:szCs w:val="22"/>
          <w:lang w:val="el-GR"/>
        </w:rPr>
        <w:t xml:space="preserve"> </w:t>
      </w:r>
      <w:r w:rsidRPr="00D7372B">
        <w:rPr>
          <w:rFonts w:asciiTheme="minorHAnsi" w:hAnsiTheme="minorHAnsi" w:cstheme="minorHAnsi"/>
          <w:sz w:val="22"/>
          <w:szCs w:val="22"/>
          <w:lang w:val="el-GR"/>
        </w:rPr>
        <w:t>(ΚΩΔ. ΟΠΣΚΕ Ο8.03)</w:t>
      </w:r>
    </w:p>
    <w:p w14:paraId="00F63FD0" w14:textId="77777777" w:rsidR="0017206E" w:rsidRPr="006937D9" w:rsidRDefault="0017206E" w:rsidP="0017206E">
      <w:pPr>
        <w:numPr>
          <w:ilvl w:val="0"/>
          <w:numId w:val="1"/>
        </w:numPr>
        <w:spacing w:before="40" w:after="40" w:line="288" w:lineRule="auto"/>
        <w:ind w:left="426"/>
        <w:rPr>
          <w:rFonts w:asciiTheme="minorHAnsi" w:hAnsiTheme="minorHAnsi" w:cstheme="minorHAnsi"/>
          <w:sz w:val="22"/>
          <w:szCs w:val="22"/>
          <w:lang w:val="el-GR"/>
        </w:rPr>
      </w:pPr>
      <w:r w:rsidRPr="006937D9">
        <w:rPr>
          <w:rFonts w:asciiTheme="minorHAnsi" w:hAnsiTheme="minorHAnsi" w:cstheme="minorHAnsi"/>
          <w:b/>
          <w:bCs/>
          <w:sz w:val="22"/>
          <w:szCs w:val="22"/>
          <w:lang w:val="el-GR"/>
        </w:rPr>
        <w:t>Ασφαλιστική ενημερότητα</w:t>
      </w:r>
      <w:r w:rsidRPr="006937D9">
        <w:rPr>
          <w:rFonts w:asciiTheme="minorHAnsi" w:hAnsiTheme="minorHAnsi" w:cstheme="minorHAnsi"/>
          <w:sz w:val="22"/>
          <w:szCs w:val="22"/>
          <w:lang w:val="el-GR"/>
        </w:rPr>
        <w:t xml:space="preserve"> </w:t>
      </w:r>
      <w:r w:rsidRPr="006937D9">
        <w:rPr>
          <w:rFonts w:asciiTheme="minorHAnsi" w:hAnsiTheme="minorHAnsi" w:cstheme="minorHAnsi"/>
          <w:b/>
          <w:bCs/>
          <w:sz w:val="22"/>
          <w:szCs w:val="22"/>
          <w:lang w:val="el-GR"/>
        </w:rPr>
        <w:t>σε ισχύ,</w:t>
      </w:r>
      <w:r w:rsidRPr="006937D9">
        <w:rPr>
          <w:rFonts w:asciiTheme="minorHAnsi" w:hAnsiTheme="minorHAnsi" w:cstheme="minorHAnsi"/>
          <w:sz w:val="22"/>
          <w:szCs w:val="22"/>
          <w:lang w:val="el-GR"/>
        </w:rPr>
        <w:t xml:space="preserve"> για είσπραξη εκκαθαρισμένων απαιτήσεων από το Δημόσιο. Επισημαίνεται ότι οι έχοντες ατομική επιχείρηση, πρέπει να προσκομίζουν ασφαλιστική ενημερότητα που να καλύπτει τόσο τις προσωπικές, όσο τις εργοδοτικές εισφορές (απασχολούμενο προσωπικό).</w:t>
      </w:r>
      <w:r>
        <w:rPr>
          <w:rFonts w:asciiTheme="minorHAnsi" w:hAnsiTheme="minorHAnsi" w:cstheme="minorHAnsi"/>
          <w:sz w:val="22"/>
          <w:szCs w:val="22"/>
          <w:lang w:val="el-GR"/>
        </w:rPr>
        <w:t xml:space="preserve"> </w:t>
      </w:r>
      <w:r w:rsidRPr="00D7372B">
        <w:rPr>
          <w:rFonts w:asciiTheme="minorHAnsi" w:hAnsiTheme="minorHAnsi" w:cstheme="minorHAnsi"/>
          <w:sz w:val="22"/>
          <w:szCs w:val="22"/>
          <w:lang w:val="el-GR"/>
        </w:rPr>
        <w:t>(ΚΩΔ. ΟΠΣΚΕ Ο8.02)</w:t>
      </w:r>
    </w:p>
    <w:p w14:paraId="01FACEDC" w14:textId="77777777" w:rsidR="0017206E" w:rsidRPr="006937D9" w:rsidRDefault="0017206E" w:rsidP="0017206E">
      <w:pPr>
        <w:numPr>
          <w:ilvl w:val="0"/>
          <w:numId w:val="1"/>
        </w:numPr>
        <w:spacing w:before="40" w:after="40" w:line="288" w:lineRule="auto"/>
        <w:ind w:left="426"/>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Υπεύθυνη δήλωση Ν. 1599/86 του νομίμου εκπροσώπου της επιχείρησης με το γνήσιο της υπογραφής ή με ψηφιακή υπογραφή ή από το </w:t>
      </w:r>
      <w:hyperlink r:id="rId7" w:history="1">
        <w:r w:rsidRPr="006937D9">
          <w:rPr>
            <w:rFonts w:asciiTheme="minorHAnsi" w:hAnsiTheme="minorHAnsi" w:cstheme="minorHAnsi"/>
            <w:sz w:val="22"/>
            <w:szCs w:val="22"/>
            <w:u w:val="single"/>
          </w:rPr>
          <w:t>gov</w:t>
        </w:r>
        <w:r w:rsidRPr="006937D9">
          <w:rPr>
            <w:rFonts w:asciiTheme="minorHAnsi" w:hAnsiTheme="minorHAnsi" w:cstheme="minorHAnsi"/>
            <w:sz w:val="22"/>
            <w:szCs w:val="22"/>
            <w:u w:val="single"/>
            <w:lang w:val="el-GR"/>
          </w:rPr>
          <w:t>.</w:t>
        </w:r>
        <w:r w:rsidRPr="006937D9">
          <w:rPr>
            <w:rFonts w:asciiTheme="minorHAnsi" w:hAnsiTheme="minorHAnsi" w:cstheme="minorHAnsi"/>
            <w:sz w:val="22"/>
            <w:szCs w:val="22"/>
            <w:u w:val="single"/>
          </w:rPr>
          <w:t>gr</w:t>
        </w:r>
      </w:hyperlink>
      <w:r w:rsidRPr="006937D9">
        <w:rPr>
          <w:rFonts w:asciiTheme="minorHAnsi" w:hAnsiTheme="minorHAnsi" w:cstheme="minorHAnsi"/>
          <w:sz w:val="22"/>
          <w:szCs w:val="22"/>
          <w:lang w:val="el-GR"/>
        </w:rPr>
        <w:t xml:space="preserve"> στην οποία θα αναφέρονται</w:t>
      </w:r>
      <w:r>
        <w:rPr>
          <w:rFonts w:asciiTheme="minorHAnsi" w:hAnsiTheme="minorHAnsi" w:cstheme="minorHAnsi"/>
          <w:sz w:val="22"/>
          <w:szCs w:val="22"/>
          <w:lang w:val="el-GR"/>
        </w:rPr>
        <w:t xml:space="preserve"> </w:t>
      </w:r>
      <w:r w:rsidRPr="00D7372B">
        <w:rPr>
          <w:rFonts w:asciiTheme="minorHAnsi" w:hAnsiTheme="minorHAnsi" w:cstheme="minorHAnsi"/>
          <w:sz w:val="22"/>
          <w:szCs w:val="22"/>
          <w:lang w:val="el-GR"/>
        </w:rPr>
        <w:t>(ΚΩΔ. ΟΠΣΚΕ Ο9.03)</w:t>
      </w:r>
      <w:r w:rsidRPr="006937D9">
        <w:rPr>
          <w:rFonts w:asciiTheme="minorHAnsi" w:hAnsiTheme="minorHAnsi" w:cstheme="minorHAnsi"/>
          <w:sz w:val="22"/>
          <w:szCs w:val="22"/>
          <w:lang w:val="el-GR"/>
        </w:rPr>
        <w:t>:</w:t>
      </w:r>
    </w:p>
    <w:p w14:paraId="0DDE6C31" w14:textId="77777777" w:rsidR="0017206E" w:rsidRPr="006937D9" w:rsidRDefault="0017206E" w:rsidP="0017206E">
      <w:pPr>
        <w:numPr>
          <w:ilvl w:val="1"/>
          <w:numId w:val="1"/>
        </w:numPr>
        <w:spacing w:before="40" w:after="40" w:line="288" w:lineRule="auto"/>
        <w:ind w:left="851"/>
        <w:rPr>
          <w:rFonts w:asciiTheme="minorHAnsi" w:hAnsiTheme="minorHAnsi" w:cstheme="minorHAnsi"/>
          <w:b/>
          <w:bCs/>
          <w:sz w:val="22"/>
          <w:szCs w:val="22"/>
          <w:lang w:val="el-GR"/>
        </w:rPr>
      </w:pPr>
      <w:r w:rsidRPr="006937D9">
        <w:rPr>
          <w:rFonts w:asciiTheme="minorHAnsi" w:hAnsiTheme="minorHAnsi" w:cstheme="minorHAnsi"/>
          <w:b/>
          <w:bCs/>
          <w:sz w:val="22"/>
          <w:szCs w:val="22"/>
          <w:lang w:val="el-GR"/>
        </w:rPr>
        <w:t>ότι η δημόσια επιχορήγηση του προγράμματος δεν έχει εκχωρηθεί.</w:t>
      </w:r>
    </w:p>
    <w:p w14:paraId="28E942D7" w14:textId="77777777" w:rsidR="0017206E" w:rsidRPr="006937D9" w:rsidRDefault="0017206E" w:rsidP="0017206E">
      <w:pPr>
        <w:spacing w:before="40" w:after="40" w:line="288" w:lineRule="auto"/>
        <w:ind w:left="851"/>
        <w:rPr>
          <w:rFonts w:asciiTheme="minorHAnsi" w:hAnsiTheme="minorHAnsi" w:cstheme="minorHAnsi"/>
          <w:sz w:val="22"/>
          <w:szCs w:val="22"/>
          <w:lang w:val="el-GR"/>
        </w:rPr>
      </w:pPr>
      <w:r w:rsidRPr="006937D9">
        <w:rPr>
          <w:rFonts w:asciiTheme="minorHAnsi" w:hAnsiTheme="minorHAnsi" w:cstheme="minorHAnsi"/>
          <w:sz w:val="22"/>
          <w:szCs w:val="22"/>
          <w:lang w:val="el-GR"/>
        </w:rPr>
        <w:t>Εφόσον έχει γίνει εκχώρηση υποβάλλεται υποχρεωτικώς η σύμβαση εκχώρησης επιχορήγησης έναντι δανείου και βεβαίωση εκταμίευσης αυτού.</w:t>
      </w:r>
    </w:p>
    <w:p w14:paraId="17B60722" w14:textId="77777777" w:rsidR="0017206E" w:rsidRPr="006937D9" w:rsidRDefault="0017206E" w:rsidP="0017206E">
      <w:pPr>
        <w:numPr>
          <w:ilvl w:val="1"/>
          <w:numId w:val="1"/>
        </w:numPr>
        <w:spacing w:before="40" w:after="40" w:line="288" w:lineRule="auto"/>
        <w:ind w:left="851"/>
        <w:rPr>
          <w:rFonts w:asciiTheme="minorHAnsi" w:hAnsiTheme="minorHAnsi" w:cstheme="minorHAnsi"/>
          <w:b/>
          <w:bCs/>
          <w:sz w:val="22"/>
          <w:szCs w:val="22"/>
          <w:lang w:val="el-GR"/>
        </w:rPr>
      </w:pPr>
      <w:r w:rsidRPr="006937D9">
        <w:rPr>
          <w:rFonts w:asciiTheme="minorHAnsi" w:hAnsiTheme="minorHAnsi" w:cstheme="minorHAnsi"/>
          <w:b/>
          <w:bCs/>
          <w:sz w:val="22"/>
          <w:szCs w:val="22"/>
          <w:lang w:val="el-GR"/>
        </w:rPr>
        <w:t xml:space="preserve">ότι δεν έχουν μεταβληθεί / τροποποιηθεί τα στοιχεία της επιχείρησης </w:t>
      </w:r>
      <w:r w:rsidRPr="006937D9">
        <w:rPr>
          <w:rFonts w:asciiTheme="minorHAnsi" w:hAnsiTheme="minorHAnsi" w:cstheme="minorHAnsi"/>
          <w:sz w:val="22"/>
          <w:szCs w:val="22"/>
          <w:lang w:val="el-GR"/>
        </w:rPr>
        <w:t>σε σχέση με τα αναφερόμενα στο ισχύον εγκεκριμένο τεχνικό παράρτημα.</w:t>
      </w:r>
    </w:p>
    <w:p w14:paraId="3D3C64EA" w14:textId="77777777" w:rsidR="0017206E" w:rsidRPr="006937D9" w:rsidRDefault="0017206E" w:rsidP="0017206E">
      <w:pPr>
        <w:spacing w:before="40" w:after="40" w:line="288" w:lineRule="auto"/>
        <w:ind w:left="851"/>
        <w:rPr>
          <w:rFonts w:asciiTheme="minorHAnsi" w:hAnsiTheme="minorHAnsi" w:cstheme="minorHAnsi"/>
          <w:sz w:val="22"/>
          <w:szCs w:val="22"/>
          <w:lang w:val="el-GR"/>
        </w:rPr>
      </w:pPr>
      <w:bookmarkStart w:id="3" w:name="_Hlk140135450"/>
      <w:r w:rsidRPr="006937D9">
        <w:rPr>
          <w:rFonts w:asciiTheme="minorHAnsi" w:hAnsiTheme="minorHAnsi" w:cstheme="minorHAnsi"/>
          <w:sz w:val="22"/>
          <w:szCs w:val="22"/>
          <w:lang w:val="el-GR"/>
        </w:rPr>
        <w:t>Σε περίπτωση που έχουν τροποποιηθεί τα στοιχεία της επιχείρησης τότε γίνεται σχετική αναφορά στην ΥΔ και υποβάλλονται επιπρόσθετα στοιχεία τεκμηρίωσης των τροποποιήσεων (ανάλογα με τη νομική μορφή και το είδος της τροποποίησης: Τελευταίο ισχύον καταστατικό κατατεθειμένο στην αρμόδια υπηρεσία / Πρόσφατο πρακτικό ΓΣ με σφραγίδα και υπογραφή της επιχείρησης / Απόφαση εκλογής ΔΣ κατατεθειμένο στην αρμόδια υπηρεσία / Αναλυτικό πιστοποιητικό εκπροσώπησης/ Ψηφιακή βεβαίωση μητρώου επιχειρήσεων μέσω της ψηφιακής πύλης myAADE κλπ).</w:t>
      </w:r>
      <w:bookmarkEnd w:id="3"/>
    </w:p>
    <w:p w14:paraId="50F83C60" w14:textId="77777777" w:rsidR="0017206E" w:rsidRPr="006937D9" w:rsidRDefault="0017206E" w:rsidP="0017206E">
      <w:pPr>
        <w:numPr>
          <w:ilvl w:val="1"/>
          <w:numId w:val="1"/>
        </w:numPr>
        <w:spacing w:before="40" w:after="40" w:line="288" w:lineRule="auto"/>
        <w:ind w:left="851"/>
        <w:rPr>
          <w:rFonts w:asciiTheme="minorHAnsi" w:hAnsiTheme="minorHAnsi" w:cstheme="minorHAnsi"/>
          <w:sz w:val="22"/>
          <w:szCs w:val="22"/>
          <w:lang w:val="el-GR"/>
        </w:rPr>
      </w:pPr>
      <w:r w:rsidRPr="006937D9">
        <w:rPr>
          <w:rFonts w:asciiTheme="minorHAnsi" w:hAnsiTheme="minorHAnsi" w:cstheme="minorHAnsi"/>
          <w:b/>
          <w:bCs/>
          <w:sz w:val="22"/>
          <w:szCs w:val="22"/>
          <w:lang w:val="el-GR"/>
        </w:rPr>
        <w:t xml:space="preserve">ότι δεν εκκρεμεί εις βάρος της επιχείρησης εντολή ανάκτησης </w:t>
      </w:r>
      <w:r w:rsidRPr="006937D9">
        <w:rPr>
          <w:rFonts w:asciiTheme="minorHAnsi" w:hAnsiTheme="minorHAnsi" w:cstheme="minorHAnsi"/>
          <w:sz w:val="22"/>
          <w:szCs w:val="22"/>
          <w:lang w:val="el-GR"/>
        </w:rPr>
        <w:t>προηγούμενης παράνομης και ασυμβίβαστης με την εσωτερική αγορά κρατικής ενίσχυσης, κατόπιν απόφασης της Ευρωπαϊκής Επιτροπής ή του Δικαστηρίου της Ευρωπαϊκής ένωσης.</w:t>
      </w:r>
    </w:p>
    <w:p w14:paraId="5E3100C5" w14:textId="77777777" w:rsidR="0017206E" w:rsidRPr="006937D9" w:rsidRDefault="0017206E" w:rsidP="0017206E">
      <w:pPr>
        <w:numPr>
          <w:ilvl w:val="1"/>
          <w:numId w:val="1"/>
        </w:numPr>
        <w:spacing w:before="40" w:after="40" w:line="288" w:lineRule="auto"/>
        <w:ind w:left="851"/>
        <w:rPr>
          <w:rFonts w:asciiTheme="minorHAnsi" w:hAnsiTheme="minorHAnsi" w:cstheme="minorHAnsi"/>
          <w:b/>
          <w:bCs/>
          <w:sz w:val="22"/>
          <w:szCs w:val="22"/>
          <w:lang w:val="el-GR"/>
        </w:rPr>
      </w:pPr>
      <w:r w:rsidRPr="006937D9">
        <w:rPr>
          <w:rFonts w:asciiTheme="minorHAnsi" w:hAnsiTheme="minorHAnsi" w:cstheme="minorHAnsi"/>
          <w:b/>
          <w:bCs/>
          <w:sz w:val="22"/>
          <w:szCs w:val="22"/>
          <w:lang w:val="el-GR"/>
        </w:rPr>
        <w:t xml:space="preserve">ότι οι δαπάνες για τις οποίες η επιχείρηση λαμβάνει επιχορήγηση </w:t>
      </w:r>
      <w:r w:rsidRPr="006937D9">
        <w:rPr>
          <w:rFonts w:asciiTheme="minorHAnsi" w:hAnsiTheme="minorHAnsi" w:cstheme="minorHAnsi"/>
          <w:sz w:val="22"/>
          <w:szCs w:val="22"/>
          <w:lang w:val="el-GR"/>
        </w:rPr>
        <w:t>δεν έχουν χρηματοδοτηθεί, δεν έχουν ενταχθεί και δεν θα υποβληθούν σε άλλο πρόγραμμα που χρηματοδοτείται από εθνικούς ή κοινοτικούς πόρους.</w:t>
      </w:r>
    </w:p>
    <w:p w14:paraId="18F773DD" w14:textId="77777777" w:rsidR="0017206E" w:rsidRPr="006937D9" w:rsidRDefault="0017206E" w:rsidP="0017206E">
      <w:pPr>
        <w:numPr>
          <w:ilvl w:val="1"/>
          <w:numId w:val="1"/>
        </w:numPr>
        <w:spacing w:before="40" w:after="40" w:line="288" w:lineRule="auto"/>
        <w:ind w:left="851"/>
        <w:rPr>
          <w:rFonts w:asciiTheme="minorHAnsi" w:hAnsiTheme="minorHAnsi" w:cstheme="minorHAnsi"/>
          <w:b/>
          <w:bCs/>
          <w:sz w:val="22"/>
          <w:szCs w:val="22"/>
          <w:lang w:val="el-GR"/>
        </w:rPr>
      </w:pPr>
      <w:r w:rsidRPr="006937D9">
        <w:rPr>
          <w:rFonts w:asciiTheme="minorHAnsi" w:hAnsiTheme="minorHAnsi" w:cstheme="minorHAnsi"/>
          <w:b/>
          <w:bCs/>
          <w:sz w:val="22"/>
          <w:szCs w:val="22"/>
          <w:lang w:val="el-GR"/>
        </w:rPr>
        <w:t xml:space="preserve">ότι το ΙΒΑΝ του λογαριασμού στον οποίο η επιχείρηση επιθυμεί να κατατεθεί το ποσό της </w:t>
      </w:r>
      <w:r w:rsidRPr="006937D9">
        <w:rPr>
          <w:rFonts w:asciiTheme="minorHAnsi" w:hAnsiTheme="minorHAnsi" w:cstheme="minorHAnsi"/>
          <w:sz w:val="22"/>
          <w:szCs w:val="22"/>
          <w:lang w:val="el-GR"/>
        </w:rPr>
        <w:t>επιχορήγησης είναι ………………………………………………………………………………….. της τράπεζας ………………………………….. και πρόκειται για εταιρικό/επαγγελματικό λογαριασμό της επιχείρησης.</w:t>
      </w:r>
    </w:p>
    <w:p w14:paraId="6824A725" w14:textId="77777777" w:rsidR="0017206E" w:rsidRDefault="0017206E" w:rsidP="0017206E">
      <w:pPr>
        <w:numPr>
          <w:ilvl w:val="0"/>
          <w:numId w:val="1"/>
        </w:numPr>
        <w:spacing w:before="40" w:after="40" w:line="276" w:lineRule="auto"/>
        <w:ind w:left="426"/>
        <w:rPr>
          <w:rFonts w:asciiTheme="minorHAnsi" w:hAnsiTheme="minorHAnsi" w:cstheme="minorHAnsi"/>
          <w:sz w:val="22"/>
          <w:szCs w:val="22"/>
          <w:lang w:val="el-GR"/>
        </w:rPr>
      </w:pPr>
      <w:r w:rsidRPr="006937D9">
        <w:rPr>
          <w:rFonts w:asciiTheme="minorHAnsi" w:hAnsiTheme="minorHAnsi" w:cstheme="minorHAnsi"/>
          <w:b/>
          <w:bCs/>
          <w:sz w:val="22"/>
          <w:szCs w:val="22"/>
          <w:lang w:val="el-GR"/>
        </w:rPr>
        <w:lastRenderedPageBreak/>
        <w:t>Αντίγραφο Τραπεζικού εγγράφου</w:t>
      </w:r>
      <w:r w:rsidRPr="006937D9">
        <w:rPr>
          <w:rFonts w:asciiTheme="minorHAnsi" w:hAnsiTheme="minorHAnsi" w:cstheme="minorHAnsi"/>
          <w:sz w:val="22"/>
          <w:szCs w:val="22"/>
          <w:lang w:val="el-GR"/>
        </w:rPr>
        <w:t xml:space="preserve"> (πχ. εκτύπωση από το e-banking) με τον αριθμό ΙΒΑΝ του εταιρικού ή επαγγελματικού λογαριασμού της επιχείρησης (όψεως ή εμπορικός ή δηλωμένος επαγγελματικός λογαριασμός στην ΑΑΔΕ), που δηλώνεται στην ως άνω υπεύθυνη δήλωση για την κατάθεση του ποσού της επιχορήγησης.</w:t>
      </w:r>
      <w:r>
        <w:rPr>
          <w:rFonts w:asciiTheme="minorHAnsi" w:hAnsiTheme="minorHAnsi" w:cstheme="minorHAnsi"/>
          <w:sz w:val="22"/>
          <w:szCs w:val="22"/>
          <w:lang w:val="el-GR"/>
        </w:rPr>
        <w:t xml:space="preserve"> </w:t>
      </w:r>
      <w:r w:rsidRPr="00D7372B">
        <w:rPr>
          <w:rFonts w:asciiTheme="minorHAnsi" w:hAnsiTheme="minorHAnsi" w:cstheme="minorHAnsi"/>
          <w:sz w:val="22"/>
          <w:szCs w:val="22"/>
          <w:lang w:val="el-GR"/>
        </w:rPr>
        <w:t>(ΚΩΔ. ΟΠΣΚΕ Ο4.12)</w:t>
      </w:r>
    </w:p>
    <w:p w14:paraId="612D29AE" w14:textId="77777777" w:rsidR="0017206E" w:rsidRPr="00D7372B" w:rsidRDefault="0017206E" w:rsidP="0017206E">
      <w:pPr>
        <w:numPr>
          <w:ilvl w:val="0"/>
          <w:numId w:val="1"/>
        </w:numPr>
        <w:spacing w:before="0" w:after="160" w:line="288" w:lineRule="auto"/>
        <w:ind w:left="426" w:right="327" w:hanging="426"/>
        <w:rPr>
          <w:rFonts w:asciiTheme="minorHAnsi" w:hAnsiTheme="minorHAnsi" w:cstheme="minorHAnsi"/>
          <w:sz w:val="22"/>
          <w:szCs w:val="22"/>
          <w:lang w:val="el-GR"/>
        </w:rPr>
      </w:pPr>
      <w:r w:rsidRPr="00D7372B">
        <w:rPr>
          <w:rFonts w:asciiTheme="minorHAnsi" w:hAnsiTheme="minorHAnsi" w:cstheme="minorHAnsi"/>
          <w:b/>
          <w:bCs/>
          <w:sz w:val="22"/>
          <w:szCs w:val="22"/>
          <w:lang w:val="el-GR"/>
        </w:rPr>
        <w:t>Γενικό πιστοποιητικό</w:t>
      </w:r>
      <w:r w:rsidRPr="00D7372B">
        <w:rPr>
          <w:rFonts w:asciiTheme="minorHAnsi" w:hAnsiTheme="minorHAnsi" w:cstheme="minorHAnsi"/>
          <w:sz w:val="22"/>
          <w:szCs w:val="22"/>
          <w:lang w:val="el-GR"/>
        </w:rPr>
        <w:t xml:space="preserve"> από ΓΕΜΗ έκδοσης τελευταίου διμήνου από την κατάθεσή του. (ΚΩΔ. ΟΠΣΚΕ Ο2.01)</w:t>
      </w:r>
    </w:p>
    <w:p w14:paraId="1CA4DFFD" w14:textId="77777777" w:rsidR="0017206E" w:rsidRDefault="0017206E" w:rsidP="0017206E">
      <w:pPr>
        <w:numPr>
          <w:ilvl w:val="0"/>
          <w:numId w:val="1"/>
        </w:numPr>
        <w:tabs>
          <w:tab w:val="num" w:pos="720"/>
        </w:tabs>
        <w:spacing w:before="40" w:after="40" w:line="276" w:lineRule="auto"/>
        <w:ind w:left="426" w:right="327"/>
        <w:rPr>
          <w:rFonts w:asciiTheme="minorHAnsi" w:hAnsiTheme="minorHAnsi" w:cstheme="minorHAnsi"/>
          <w:sz w:val="22"/>
          <w:szCs w:val="22"/>
          <w:lang w:val="el-GR"/>
        </w:rPr>
      </w:pPr>
      <w:r w:rsidRPr="006B4252">
        <w:rPr>
          <w:rFonts w:asciiTheme="minorHAnsi" w:hAnsiTheme="minorHAnsi" w:cstheme="minorHAnsi"/>
          <w:b/>
          <w:bCs/>
          <w:sz w:val="22"/>
          <w:szCs w:val="22"/>
          <w:lang w:val="el-GR"/>
        </w:rPr>
        <w:t>Πιστοποιητικό δικαστικής φερεγγυότητας</w:t>
      </w:r>
      <w:r w:rsidRPr="006B4252">
        <w:rPr>
          <w:rFonts w:asciiTheme="minorHAnsi" w:hAnsiTheme="minorHAnsi" w:cstheme="minorHAnsi"/>
          <w:sz w:val="22"/>
          <w:szCs w:val="22"/>
          <w:lang w:val="el-GR"/>
        </w:rPr>
        <w:t xml:space="preserve"> έκδοσης τελευταίου διμήνου από την κατάθεσή του. (ΚΩΔ. ΟΠΣΚΕ Ο8.04)</w:t>
      </w:r>
    </w:p>
    <w:p w14:paraId="7C31B656" w14:textId="77777777" w:rsidR="0017206E" w:rsidRDefault="0017206E" w:rsidP="0017206E">
      <w:pPr>
        <w:numPr>
          <w:ilvl w:val="0"/>
          <w:numId w:val="1"/>
        </w:numPr>
        <w:tabs>
          <w:tab w:val="num" w:pos="720"/>
        </w:tabs>
        <w:spacing w:before="40" w:after="40" w:line="276" w:lineRule="auto"/>
        <w:ind w:left="426" w:right="327"/>
        <w:rPr>
          <w:rFonts w:asciiTheme="minorHAnsi" w:hAnsiTheme="minorHAnsi" w:cstheme="minorHAnsi"/>
          <w:sz w:val="22"/>
          <w:szCs w:val="22"/>
          <w:lang w:val="el-GR"/>
        </w:rPr>
      </w:pPr>
      <w:r w:rsidRPr="006B4252">
        <w:rPr>
          <w:rFonts w:asciiTheme="minorHAnsi" w:hAnsiTheme="minorHAnsi" w:cstheme="minorHAnsi"/>
          <w:sz w:val="22"/>
          <w:szCs w:val="22"/>
          <w:lang w:val="el-GR"/>
        </w:rPr>
        <w:t xml:space="preserve">Στην περίπτωση καταβολής </w:t>
      </w:r>
      <w:r w:rsidRPr="006B4252">
        <w:rPr>
          <w:rFonts w:asciiTheme="minorHAnsi" w:hAnsiTheme="minorHAnsi" w:cstheme="minorHAnsi"/>
          <w:b/>
          <w:bCs/>
          <w:sz w:val="22"/>
          <w:szCs w:val="22"/>
          <w:lang w:val="el-GR"/>
        </w:rPr>
        <w:t>προκαταβολής</w:t>
      </w:r>
      <w:r w:rsidRPr="006B4252">
        <w:rPr>
          <w:rFonts w:asciiTheme="minorHAnsi" w:hAnsiTheme="minorHAnsi" w:cstheme="minorHAnsi"/>
          <w:sz w:val="22"/>
          <w:szCs w:val="22"/>
          <w:lang w:val="el-GR"/>
        </w:rPr>
        <w:t xml:space="preserve">, πέραν των ανωτέρω απαιτείται η υποβολή ισόποσης Εγγυητικής Επιστολής, σύμφωνα με την ενότητα 11.3 της αναλυτικής πρόσκλησης. </w:t>
      </w:r>
      <w:r w:rsidRPr="00D7372B">
        <w:rPr>
          <w:rFonts w:asciiTheme="minorHAnsi" w:hAnsiTheme="minorHAnsi" w:cstheme="minorHAnsi"/>
          <w:sz w:val="22"/>
          <w:szCs w:val="22"/>
          <w:lang w:val="el-GR"/>
        </w:rPr>
        <w:t>(ΚΩΔ. ΟΠΣΚΕ Ο1.15)</w:t>
      </w:r>
    </w:p>
    <w:p w14:paraId="1A2D01BF" w14:textId="77777777" w:rsidR="0017206E" w:rsidRPr="006B4252" w:rsidRDefault="0017206E" w:rsidP="0017206E">
      <w:pPr>
        <w:spacing w:before="40" w:after="40" w:line="276" w:lineRule="auto"/>
        <w:ind w:left="426" w:right="327"/>
        <w:rPr>
          <w:rFonts w:asciiTheme="minorHAnsi" w:hAnsiTheme="minorHAnsi" w:cstheme="minorHAnsi"/>
          <w:sz w:val="22"/>
          <w:szCs w:val="22"/>
          <w:lang w:val="el-GR"/>
        </w:rPr>
      </w:pPr>
    </w:p>
    <w:p w14:paraId="4BA8C3A5" w14:textId="77777777" w:rsidR="0017206E" w:rsidRPr="006937D9" w:rsidRDefault="0017206E" w:rsidP="0017206E">
      <w:pPr>
        <w:spacing w:before="40" w:after="40" w:line="276" w:lineRule="auto"/>
        <w:ind w:left="66"/>
        <w:rPr>
          <w:rFonts w:asciiTheme="minorHAnsi" w:hAnsiTheme="minorHAnsi" w:cstheme="minorHAnsi"/>
          <w:b/>
          <w:bCs/>
          <w:sz w:val="22"/>
          <w:szCs w:val="22"/>
          <w:lang w:val="el-GR"/>
        </w:rPr>
      </w:pPr>
      <w:r w:rsidRPr="006937D9">
        <w:rPr>
          <w:rFonts w:asciiTheme="minorHAnsi" w:hAnsiTheme="minorHAnsi" w:cstheme="minorHAnsi"/>
          <w:b/>
          <w:bCs/>
          <w:sz w:val="22"/>
          <w:szCs w:val="22"/>
          <w:lang w:val="el-GR"/>
        </w:rPr>
        <w:t>Για την καλύτερη και ταχύτερη εξυπηρέτηση, συνίσταται οι ενημερότητες να διατηρούν την ισχύ τους για τουλάχιστον δεκαπέντε (15) ημέρες από την ημερομηνία προσκόμισης τους.</w:t>
      </w:r>
    </w:p>
    <w:p w14:paraId="246660D1" w14:textId="77777777" w:rsidR="0017206E" w:rsidRPr="006937D9" w:rsidRDefault="0017206E" w:rsidP="0017206E">
      <w:pPr>
        <w:spacing w:before="40" w:after="40" w:line="276" w:lineRule="auto"/>
        <w:ind w:left="66"/>
        <w:rPr>
          <w:rFonts w:asciiTheme="minorHAnsi" w:hAnsiTheme="minorHAnsi" w:cstheme="minorHAnsi"/>
          <w:sz w:val="22"/>
          <w:szCs w:val="22"/>
          <w:lang w:val="el-GR"/>
        </w:rPr>
      </w:pPr>
      <w:r w:rsidRPr="006937D9">
        <w:rPr>
          <w:rFonts w:asciiTheme="minorHAnsi" w:hAnsiTheme="minorHAnsi" w:cstheme="minorHAnsi"/>
          <w:sz w:val="22"/>
          <w:szCs w:val="22"/>
          <w:lang w:val="el-GR"/>
        </w:rPr>
        <w:t>Σημειώνεται ότι, ο χρόνος καταβολής της επιχορήγησης επηρεάζεται από την άμεση διαθεσιμότητα ή μη των αντίστοιχων πιστώσεων.</w:t>
      </w:r>
    </w:p>
    <w:p w14:paraId="74E3AD11" w14:textId="2E330920" w:rsidR="004D58F0" w:rsidRPr="0017206E" w:rsidRDefault="0017206E" w:rsidP="0017206E">
      <w:pPr>
        <w:spacing w:before="40" w:after="40" w:line="360" w:lineRule="auto"/>
        <w:ind w:left="66"/>
        <w:rPr>
          <w:rFonts w:asciiTheme="minorHAnsi" w:hAnsiTheme="minorHAnsi" w:cstheme="minorHAnsi"/>
          <w:sz w:val="22"/>
          <w:szCs w:val="22"/>
        </w:rPr>
      </w:pPr>
      <w:r w:rsidRPr="006937D9">
        <w:rPr>
          <w:rFonts w:asciiTheme="minorHAnsi" w:hAnsiTheme="minorHAnsi" w:cstheme="minorHAnsi"/>
          <w:b/>
          <w:bCs/>
          <w:sz w:val="22"/>
          <w:szCs w:val="22"/>
          <w:u w:val="single"/>
          <w:lang w:val="el-GR"/>
        </w:rPr>
        <w:t>Βάσει των διατάξεων του άρθρου 61 του Ν. 4914/2022, παρ.2 &amp; 3/ ΦΕΚ 61/21.03.2022 το ποσό που καταβάλλεται στους δικαιούχους για την υλοποίηση των πράξεων που συγχρηματοδοτούνται από τα Ευρωπαϊκά Ταμεία, δεν υπόκειται σε παρακράτηση ή κατάσχεση</w:t>
      </w:r>
      <w:r w:rsidRPr="006937D9">
        <w:rPr>
          <w:rFonts w:asciiTheme="minorHAnsi" w:hAnsiTheme="minorHAnsi" w:cstheme="minorHAnsi"/>
          <w:sz w:val="22"/>
          <w:szCs w:val="22"/>
          <w:lang w:val="el-GR"/>
        </w:rPr>
        <w:t xml:space="preserve"> στα χέρια του Δημοσίου ή τρίτων κατά παρέκκλιση κάθε άλλης αντίθετης γενικής ή ειδικής διάταξης,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εισπράττεται οποιαδήποτε άλλη ειδική επιβάρυνση ή άλλο τέλος ισοδύναμου αποτελέσματος, το οποίο θα είχε ως αποτέλεσμα τη μείωση του ποσού που οφείλεται στους δικαιούχους.</w:t>
      </w:r>
    </w:p>
    <w:sectPr w:rsidR="004D58F0" w:rsidRPr="0017206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DCFB" w14:textId="77777777" w:rsidR="00C97777" w:rsidRDefault="00C97777" w:rsidP="0017206E">
      <w:pPr>
        <w:spacing w:before="0" w:after="0" w:line="240" w:lineRule="auto"/>
      </w:pPr>
      <w:r>
        <w:separator/>
      </w:r>
    </w:p>
  </w:endnote>
  <w:endnote w:type="continuationSeparator" w:id="0">
    <w:p w14:paraId="253558C1" w14:textId="77777777" w:rsidR="00C97777" w:rsidRDefault="00C97777" w:rsidP="001720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1816" w14:textId="1CC43DFD" w:rsidR="0017206E" w:rsidRDefault="0017206E">
    <w:pPr>
      <w:pStyle w:val="Footer"/>
    </w:pPr>
    <w:r>
      <w:rPr>
        <w:noProof/>
        <w:lang w:val="el-GR" w:eastAsia="el-GR"/>
      </w:rPr>
      <w:drawing>
        <wp:inline distT="0" distB="0" distL="0" distR="0" wp14:anchorId="2F8AD00E" wp14:editId="7FA74ED1">
          <wp:extent cx="5274310" cy="555191"/>
          <wp:effectExtent l="0" t="0" r="2540" b="0"/>
          <wp:docPr id="138599375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5519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7EFF" w14:textId="77777777" w:rsidR="00C97777" w:rsidRDefault="00C97777" w:rsidP="0017206E">
      <w:pPr>
        <w:spacing w:before="0" w:after="0" w:line="240" w:lineRule="auto"/>
      </w:pPr>
      <w:r>
        <w:separator/>
      </w:r>
    </w:p>
  </w:footnote>
  <w:footnote w:type="continuationSeparator" w:id="0">
    <w:p w14:paraId="1A4C42C9" w14:textId="77777777" w:rsidR="00C97777" w:rsidRDefault="00C97777" w:rsidP="0017206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45F9"/>
    <w:multiLevelType w:val="hybridMultilevel"/>
    <w:tmpl w:val="FFFFFFFF"/>
    <w:lvl w:ilvl="0" w:tplc="0408000F">
      <w:start w:val="1"/>
      <w:numFmt w:val="decimal"/>
      <w:lvlText w:val="%1."/>
      <w:lvlJc w:val="left"/>
      <w:pPr>
        <w:ind w:left="720" w:hanging="360"/>
      </w:pPr>
      <w:rPr>
        <w:rFonts w:cs="Times New Roman"/>
      </w:rPr>
    </w:lvl>
    <w:lvl w:ilvl="1" w:tplc="6802A8C8">
      <w:start w:val="1"/>
      <w:numFmt w:val="lowerRoman"/>
      <w:lvlText w:val="%2."/>
      <w:lvlJc w:val="right"/>
      <w:pPr>
        <w:ind w:left="1440" w:hanging="360"/>
      </w:pPr>
      <w:rPr>
        <w:rFonts w:cs="Times New Roman"/>
        <w:b w:val="0"/>
        <w:bCs w:val="0"/>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184890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21"/>
    <w:rsid w:val="0017206E"/>
    <w:rsid w:val="004D58F0"/>
    <w:rsid w:val="00722F21"/>
    <w:rsid w:val="00AA6E0E"/>
    <w:rsid w:val="00C977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673B"/>
  <w15:chartTrackingRefBased/>
  <w15:docId w15:val="{66AF5665-1D81-457E-BD35-E13AB54B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06E"/>
    <w:pPr>
      <w:spacing w:before="120" w:after="120" w:line="320" w:lineRule="atLeast"/>
      <w:jc w:val="both"/>
    </w:pPr>
    <w:rPr>
      <w:rFonts w:ascii="Verdana" w:eastAsia="Times New Roman" w:hAnsi="Verdana" w:cs="Times New Roman"/>
      <w:kern w:val="0"/>
      <w:sz w:val="20"/>
      <w:szCs w:val="24"/>
      <w:lang w:val="en-US"/>
      <w14:ligatures w14:val="none"/>
    </w:rPr>
  </w:style>
  <w:style w:type="paragraph" w:styleId="Heading1">
    <w:name w:val="heading 1"/>
    <w:basedOn w:val="Normal"/>
    <w:next w:val="Normal"/>
    <w:link w:val="Heading1Char"/>
    <w:uiPriority w:val="9"/>
    <w:qFormat/>
    <w:rsid w:val="00722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22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F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F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F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22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F21"/>
    <w:rPr>
      <w:rFonts w:eastAsiaTheme="majorEastAsia" w:cstheme="majorBidi"/>
      <w:color w:val="272727" w:themeColor="text1" w:themeTint="D8"/>
    </w:rPr>
  </w:style>
  <w:style w:type="paragraph" w:styleId="Title">
    <w:name w:val="Title"/>
    <w:basedOn w:val="Normal"/>
    <w:next w:val="Normal"/>
    <w:link w:val="TitleChar"/>
    <w:uiPriority w:val="10"/>
    <w:qFormat/>
    <w:rsid w:val="00722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F21"/>
    <w:pPr>
      <w:spacing w:before="160"/>
      <w:jc w:val="center"/>
    </w:pPr>
    <w:rPr>
      <w:i/>
      <w:iCs/>
      <w:color w:val="404040" w:themeColor="text1" w:themeTint="BF"/>
    </w:rPr>
  </w:style>
  <w:style w:type="character" w:customStyle="1" w:styleId="QuoteChar">
    <w:name w:val="Quote Char"/>
    <w:basedOn w:val="DefaultParagraphFont"/>
    <w:link w:val="Quote"/>
    <w:uiPriority w:val="29"/>
    <w:rsid w:val="00722F21"/>
    <w:rPr>
      <w:i/>
      <w:iCs/>
      <w:color w:val="404040" w:themeColor="text1" w:themeTint="BF"/>
    </w:rPr>
  </w:style>
  <w:style w:type="paragraph" w:styleId="ListParagraph">
    <w:name w:val="List Paragraph"/>
    <w:basedOn w:val="Normal"/>
    <w:uiPriority w:val="34"/>
    <w:qFormat/>
    <w:rsid w:val="00722F21"/>
    <w:pPr>
      <w:ind w:left="720"/>
      <w:contextualSpacing/>
    </w:pPr>
  </w:style>
  <w:style w:type="character" w:styleId="IntenseEmphasis">
    <w:name w:val="Intense Emphasis"/>
    <w:basedOn w:val="DefaultParagraphFont"/>
    <w:uiPriority w:val="21"/>
    <w:qFormat/>
    <w:rsid w:val="00722F21"/>
    <w:rPr>
      <w:i/>
      <w:iCs/>
      <w:color w:val="0F4761" w:themeColor="accent1" w:themeShade="BF"/>
    </w:rPr>
  </w:style>
  <w:style w:type="paragraph" w:styleId="IntenseQuote">
    <w:name w:val="Intense Quote"/>
    <w:basedOn w:val="Normal"/>
    <w:next w:val="Normal"/>
    <w:link w:val="IntenseQuoteChar"/>
    <w:uiPriority w:val="30"/>
    <w:qFormat/>
    <w:rsid w:val="00722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F21"/>
    <w:rPr>
      <w:i/>
      <w:iCs/>
      <w:color w:val="0F4761" w:themeColor="accent1" w:themeShade="BF"/>
    </w:rPr>
  </w:style>
  <w:style w:type="character" w:styleId="IntenseReference">
    <w:name w:val="Intense Reference"/>
    <w:basedOn w:val="DefaultParagraphFont"/>
    <w:uiPriority w:val="32"/>
    <w:qFormat/>
    <w:rsid w:val="00722F21"/>
    <w:rPr>
      <w:b/>
      <w:bCs/>
      <w:smallCaps/>
      <w:color w:val="0F4761" w:themeColor="accent1" w:themeShade="BF"/>
      <w:spacing w:val="5"/>
    </w:rPr>
  </w:style>
  <w:style w:type="paragraph" w:styleId="Header">
    <w:name w:val="header"/>
    <w:basedOn w:val="Normal"/>
    <w:link w:val="HeaderChar"/>
    <w:uiPriority w:val="99"/>
    <w:unhideWhenUsed/>
    <w:rsid w:val="0017206E"/>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17206E"/>
    <w:rPr>
      <w:rFonts w:ascii="Verdana" w:eastAsia="Times New Roman" w:hAnsi="Verdana" w:cs="Times New Roman"/>
      <w:kern w:val="0"/>
      <w:sz w:val="20"/>
      <w:szCs w:val="24"/>
      <w:lang w:val="en-US"/>
      <w14:ligatures w14:val="none"/>
    </w:rPr>
  </w:style>
  <w:style w:type="paragraph" w:styleId="Footer">
    <w:name w:val="footer"/>
    <w:basedOn w:val="Normal"/>
    <w:link w:val="FooterChar"/>
    <w:uiPriority w:val="99"/>
    <w:unhideWhenUsed/>
    <w:rsid w:val="0017206E"/>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17206E"/>
    <w:rPr>
      <w:rFonts w:ascii="Verdana" w:eastAsia="Times New Roman" w:hAnsi="Verdana"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gr/ipiresies/polites-kai-kathemerinoteta/psephiaka-eggrapha-gov-gr/ekdose-upeuthunes-delo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3639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Θεοδώρου Γεώργιος</dc:creator>
  <cp:keywords/>
  <dc:description/>
  <cp:lastModifiedBy>Θεοδώρου Γεώργιος</cp:lastModifiedBy>
  <cp:revision>2</cp:revision>
  <dcterms:created xsi:type="dcterms:W3CDTF">2026-03-10T14:29:00Z</dcterms:created>
  <dcterms:modified xsi:type="dcterms:W3CDTF">2026-03-10T14:30:00Z</dcterms:modified>
</cp:coreProperties>
</file>