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A204" w14:textId="77777777" w:rsidR="001739E0" w:rsidRDefault="001739E0" w:rsidP="001739E0">
      <w:pPr>
        <w:pStyle w:val="Heading2"/>
        <w:rPr>
          <w:lang w:val="el-GR"/>
        </w:rPr>
      </w:pPr>
      <w:r w:rsidRPr="006937D9">
        <w:t xml:space="preserve">ΠΑΡΑΡΤΗΜΑ IV: </w:t>
      </w:r>
      <w:bookmarkStart w:id="0" w:name="_Hlk195290103"/>
      <w:r w:rsidRPr="006937D9">
        <w:t>ΚΡΙΤΗΡΙΑ ΒΑΘΛΟΛΟΓΗΣΗΣ ΑΙΤΗΣΕΩΝ</w:t>
      </w:r>
    </w:p>
    <w:p w14:paraId="1A82D33B" w14:textId="77777777" w:rsidR="001739E0" w:rsidRDefault="001739E0" w:rsidP="001739E0">
      <w:pPr>
        <w:rPr>
          <w:lang w:val="el-GR"/>
        </w:rPr>
      </w:pPr>
    </w:p>
    <w:tbl>
      <w:tblPr>
        <w:tblpPr w:leftFromText="180" w:rightFromText="180" w:vertAnchor="text" w:horzAnchor="margin" w:tblpXSpec="center" w:tblpY="798"/>
        <w:tblW w:w="9276" w:type="dxa"/>
        <w:tblCellMar>
          <w:top w:w="44" w:type="dxa"/>
          <w:left w:w="53" w:type="dxa"/>
          <w:right w:w="115" w:type="dxa"/>
        </w:tblCellMar>
        <w:tblLook w:val="04A0" w:firstRow="1" w:lastRow="0" w:firstColumn="1" w:lastColumn="0" w:noHBand="0" w:noVBand="1"/>
      </w:tblPr>
      <w:tblGrid>
        <w:gridCol w:w="774"/>
        <w:gridCol w:w="6516"/>
        <w:gridCol w:w="1986"/>
      </w:tblGrid>
      <w:tr w:rsidR="001739E0" w:rsidRPr="006937D9" w14:paraId="6E7372D0" w14:textId="77777777" w:rsidTr="00703869">
        <w:trPr>
          <w:trHeight w:val="428"/>
        </w:trPr>
        <w:tc>
          <w:tcPr>
            <w:tcW w:w="774" w:type="dxa"/>
            <w:tcBorders>
              <w:top w:val="double" w:sz="4" w:space="0" w:color="000000"/>
              <w:left w:val="single" w:sz="4" w:space="0" w:color="000000"/>
              <w:bottom w:val="single" w:sz="4" w:space="0" w:color="000000"/>
              <w:right w:val="single" w:sz="4" w:space="0" w:color="000000"/>
            </w:tcBorders>
            <w:vAlign w:val="center"/>
          </w:tcPr>
          <w:p w14:paraId="134DB43E" w14:textId="77777777" w:rsidR="001739E0" w:rsidRPr="006937D9" w:rsidRDefault="001739E0" w:rsidP="00703869">
            <w:pPr>
              <w:spacing w:line="276" w:lineRule="auto"/>
              <w:ind w:left="59"/>
              <w:jc w:val="center"/>
              <w:rPr>
                <w:rFonts w:asciiTheme="minorHAnsi" w:hAnsiTheme="minorHAnsi" w:cstheme="minorHAnsi"/>
                <w:sz w:val="22"/>
                <w:szCs w:val="22"/>
              </w:rPr>
            </w:pPr>
            <w:r w:rsidRPr="006937D9">
              <w:rPr>
                <w:rFonts w:asciiTheme="minorHAnsi" w:hAnsiTheme="minorHAnsi" w:cstheme="minorHAnsi"/>
                <w:b/>
                <w:sz w:val="22"/>
                <w:szCs w:val="22"/>
              </w:rPr>
              <w:t>Α/Α</w:t>
            </w:r>
          </w:p>
        </w:tc>
        <w:tc>
          <w:tcPr>
            <w:tcW w:w="6516" w:type="dxa"/>
            <w:tcBorders>
              <w:top w:val="double" w:sz="4" w:space="0" w:color="000000"/>
              <w:left w:val="single" w:sz="4" w:space="0" w:color="000000"/>
              <w:bottom w:val="single" w:sz="4" w:space="0" w:color="000000"/>
              <w:right w:val="single" w:sz="4" w:space="0" w:color="000000"/>
            </w:tcBorders>
            <w:vAlign w:val="center"/>
          </w:tcPr>
          <w:p w14:paraId="27087555" w14:textId="77777777" w:rsidR="001739E0" w:rsidRPr="006937D9" w:rsidRDefault="001739E0" w:rsidP="00703869">
            <w:pPr>
              <w:spacing w:line="276" w:lineRule="auto"/>
              <w:ind w:left="55"/>
              <w:rPr>
                <w:rFonts w:asciiTheme="minorHAnsi" w:hAnsiTheme="minorHAnsi" w:cstheme="minorHAnsi"/>
                <w:sz w:val="22"/>
                <w:szCs w:val="22"/>
              </w:rPr>
            </w:pPr>
            <w:r w:rsidRPr="006937D9">
              <w:rPr>
                <w:rFonts w:asciiTheme="minorHAnsi" w:hAnsiTheme="minorHAnsi" w:cstheme="minorHAnsi"/>
                <w:b/>
                <w:sz w:val="22"/>
                <w:szCs w:val="22"/>
              </w:rPr>
              <w:t xml:space="preserve">ΠΕΡΙΓΡΑΦΗ ΚΡΙΤΗΡΙΩΝ </w:t>
            </w:r>
          </w:p>
        </w:tc>
        <w:tc>
          <w:tcPr>
            <w:tcW w:w="1986" w:type="dxa"/>
            <w:tcBorders>
              <w:top w:val="double" w:sz="4" w:space="0" w:color="000000"/>
              <w:left w:val="single" w:sz="4" w:space="0" w:color="000000"/>
              <w:bottom w:val="single" w:sz="4" w:space="0" w:color="000000"/>
              <w:right w:val="single" w:sz="4" w:space="0" w:color="000000"/>
            </w:tcBorders>
            <w:vAlign w:val="center"/>
          </w:tcPr>
          <w:p w14:paraId="0A8A15D0" w14:textId="77777777" w:rsidR="001739E0" w:rsidRPr="006937D9" w:rsidRDefault="001739E0" w:rsidP="00703869">
            <w:pPr>
              <w:spacing w:line="276" w:lineRule="auto"/>
              <w:ind w:left="65"/>
              <w:jc w:val="center"/>
              <w:rPr>
                <w:rFonts w:asciiTheme="minorHAnsi" w:hAnsiTheme="minorHAnsi" w:cstheme="minorHAnsi"/>
                <w:sz w:val="22"/>
                <w:szCs w:val="22"/>
              </w:rPr>
            </w:pPr>
            <w:r w:rsidRPr="006937D9">
              <w:rPr>
                <w:rFonts w:asciiTheme="minorHAnsi" w:hAnsiTheme="minorHAnsi" w:cstheme="minorHAnsi"/>
                <w:b/>
                <w:sz w:val="22"/>
                <w:szCs w:val="22"/>
              </w:rPr>
              <w:t>Βαθμός (Max)</w:t>
            </w:r>
          </w:p>
        </w:tc>
      </w:tr>
      <w:tr w:rsidR="001739E0" w:rsidRPr="006937D9" w14:paraId="60A2952E" w14:textId="77777777" w:rsidTr="00703869">
        <w:trPr>
          <w:trHeight w:val="428"/>
        </w:trPr>
        <w:tc>
          <w:tcPr>
            <w:tcW w:w="774" w:type="dxa"/>
            <w:tcBorders>
              <w:top w:val="single" w:sz="4" w:space="0" w:color="000000"/>
              <w:left w:val="single" w:sz="4" w:space="0" w:color="000000"/>
              <w:bottom w:val="single" w:sz="4" w:space="0" w:color="000000"/>
              <w:right w:val="single" w:sz="4" w:space="0" w:color="000000"/>
            </w:tcBorders>
          </w:tcPr>
          <w:p w14:paraId="5E087821" w14:textId="77777777" w:rsidR="001739E0" w:rsidRPr="006937D9" w:rsidRDefault="001739E0" w:rsidP="00703869">
            <w:pPr>
              <w:spacing w:line="276" w:lineRule="auto"/>
              <w:ind w:left="59"/>
              <w:jc w:val="center"/>
              <w:rPr>
                <w:rFonts w:asciiTheme="minorHAnsi" w:hAnsiTheme="minorHAnsi" w:cstheme="minorHAnsi"/>
                <w:b/>
                <w:sz w:val="22"/>
                <w:szCs w:val="22"/>
              </w:rPr>
            </w:pPr>
            <w:r w:rsidRPr="006937D9">
              <w:rPr>
                <w:rFonts w:asciiTheme="minorHAnsi" w:hAnsiTheme="minorHAnsi" w:cstheme="minorHAnsi"/>
                <w:b/>
                <w:bCs/>
                <w:sz w:val="22"/>
                <w:szCs w:val="22"/>
              </w:rPr>
              <w:t>1</w:t>
            </w:r>
          </w:p>
        </w:tc>
        <w:tc>
          <w:tcPr>
            <w:tcW w:w="6516" w:type="dxa"/>
            <w:tcBorders>
              <w:top w:val="single" w:sz="4" w:space="0" w:color="000000"/>
              <w:left w:val="single" w:sz="4" w:space="0" w:color="000000"/>
              <w:bottom w:val="single" w:sz="4" w:space="0" w:color="000000"/>
              <w:right w:val="single" w:sz="4" w:space="0" w:color="000000"/>
            </w:tcBorders>
            <w:vAlign w:val="center"/>
          </w:tcPr>
          <w:p w14:paraId="05F57511" w14:textId="77777777" w:rsidR="001739E0" w:rsidRPr="006937D9" w:rsidRDefault="001739E0" w:rsidP="00703869">
            <w:pPr>
              <w:spacing w:line="276" w:lineRule="auto"/>
              <w:ind w:left="55"/>
              <w:rPr>
                <w:rFonts w:asciiTheme="minorHAnsi" w:hAnsiTheme="minorHAnsi" w:cstheme="minorHAnsi"/>
                <w:bCs/>
                <w:sz w:val="22"/>
                <w:szCs w:val="22"/>
                <w:lang w:val="el-GR"/>
              </w:rPr>
            </w:pPr>
            <w:r w:rsidRPr="006937D9">
              <w:rPr>
                <w:rFonts w:asciiTheme="minorHAnsi" w:hAnsiTheme="minorHAnsi" w:cstheme="minorHAnsi"/>
                <w:sz w:val="22"/>
                <w:szCs w:val="22"/>
                <w:lang w:val="el-GR"/>
              </w:rPr>
              <w:t>Διαθέσιμα Κεφάλαια σε σχέση με τον Συνολικό Π/Υ του Επενδυτικού Σχεδίου</w:t>
            </w:r>
          </w:p>
        </w:tc>
        <w:tc>
          <w:tcPr>
            <w:tcW w:w="1986" w:type="dxa"/>
            <w:tcBorders>
              <w:top w:val="single" w:sz="4" w:space="0" w:color="000000"/>
              <w:left w:val="single" w:sz="4" w:space="0" w:color="000000"/>
              <w:bottom w:val="single" w:sz="4" w:space="0" w:color="000000"/>
              <w:right w:val="single" w:sz="4" w:space="0" w:color="000000"/>
            </w:tcBorders>
            <w:vAlign w:val="center"/>
          </w:tcPr>
          <w:p w14:paraId="3498AFF2" w14:textId="77777777" w:rsidR="001739E0" w:rsidRPr="006937D9" w:rsidRDefault="001739E0" w:rsidP="00703869">
            <w:pPr>
              <w:spacing w:line="276" w:lineRule="auto"/>
              <w:ind w:left="65"/>
              <w:jc w:val="center"/>
              <w:rPr>
                <w:rFonts w:asciiTheme="minorHAnsi" w:hAnsiTheme="minorHAnsi" w:cstheme="minorHAnsi"/>
                <w:b/>
                <w:sz w:val="22"/>
                <w:szCs w:val="22"/>
                <w:lang w:val="el-GR"/>
              </w:rPr>
            </w:pPr>
            <w:r w:rsidRPr="006937D9">
              <w:rPr>
                <w:rFonts w:asciiTheme="minorHAnsi" w:hAnsiTheme="minorHAnsi" w:cstheme="minorHAnsi"/>
                <w:b/>
                <w:bCs/>
                <w:sz w:val="22"/>
                <w:szCs w:val="22"/>
              </w:rPr>
              <w:t>30</w:t>
            </w:r>
          </w:p>
        </w:tc>
      </w:tr>
      <w:tr w:rsidR="001739E0" w:rsidRPr="006937D9" w14:paraId="03AEAB7A" w14:textId="77777777" w:rsidTr="00703869">
        <w:trPr>
          <w:trHeight w:val="430"/>
        </w:trPr>
        <w:tc>
          <w:tcPr>
            <w:tcW w:w="774" w:type="dxa"/>
            <w:tcBorders>
              <w:top w:val="single" w:sz="4" w:space="0" w:color="000000"/>
              <w:left w:val="single" w:sz="4" w:space="0" w:color="000000"/>
              <w:bottom w:val="single" w:sz="4" w:space="0" w:color="000000"/>
              <w:right w:val="single" w:sz="4" w:space="0" w:color="000000"/>
            </w:tcBorders>
          </w:tcPr>
          <w:p w14:paraId="5841DD60" w14:textId="77777777" w:rsidR="001739E0" w:rsidRPr="006937D9" w:rsidRDefault="001739E0" w:rsidP="00703869">
            <w:pPr>
              <w:spacing w:line="276" w:lineRule="auto"/>
              <w:ind w:left="59"/>
              <w:jc w:val="center"/>
              <w:rPr>
                <w:rFonts w:asciiTheme="minorHAnsi" w:hAnsiTheme="minorHAnsi" w:cstheme="minorHAnsi"/>
                <w:b/>
                <w:bCs/>
                <w:sz w:val="22"/>
                <w:szCs w:val="22"/>
              </w:rPr>
            </w:pPr>
            <w:r w:rsidRPr="006937D9">
              <w:rPr>
                <w:rFonts w:asciiTheme="minorHAnsi" w:hAnsiTheme="minorHAnsi" w:cstheme="minorHAnsi"/>
                <w:b/>
                <w:bCs/>
                <w:sz w:val="22"/>
                <w:szCs w:val="22"/>
              </w:rPr>
              <w:t>2</w:t>
            </w:r>
          </w:p>
        </w:tc>
        <w:tc>
          <w:tcPr>
            <w:tcW w:w="6516" w:type="dxa"/>
            <w:tcBorders>
              <w:top w:val="single" w:sz="4" w:space="0" w:color="000000"/>
              <w:left w:val="single" w:sz="4" w:space="0" w:color="000000"/>
              <w:bottom w:val="single" w:sz="4" w:space="0" w:color="000000"/>
              <w:right w:val="single" w:sz="4" w:space="0" w:color="000000"/>
            </w:tcBorders>
            <w:vAlign w:val="center"/>
          </w:tcPr>
          <w:p w14:paraId="71D699A4" w14:textId="77777777" w:rsidR="001739E0" w:rsidRPr="006937D9" w:rsidRDefault="001739E0" w:rsidP="00703869">
            <w:pPr>
              <w:spacing w:line="276" w:lineRule="auto"/>
              <w:ind w:left="57"/>
              <w:rPr>
                <w:rFonts w:asciiTheme="minorHAnsi" w:hAnsiTheme="minorHAnsi" w:cstheme="minorHAnsi"/>
                <w:sz w:val="22"/>
                <w:szCs w:val="22"/>
                <w:lang w:val="el-GR"/>
              </w:rPr>
            </w:pPr>
            <w:r w:rsidRPr="006937D9">
              <w:rPr>
                <w:rFonts w:asciiTheme="minorHAnsi" w:hAnsiTheme="minorHAnsi" w:cstheme="minorHAnsi"/>
                <w:sz w:val="22"/>
                <w:szCs w:val="22"/>
                <w:lang w:val="el-GR"/>
              </w:rPr>
              <w:t>Ρυθμός μεταβολής κύκλου εργασιών κατά την τελευταία 2ετία</w:t>
            </w:r>
          </w:p>
        </w:tc>
        <w:tc>
          <w:tcPr>
            <w:tcW w:w="1986" w:type="dxa"/>
            <w:tcBorders>
              <w:top w:val="single" w:sz="4" w:space="0" w:color="000000"/>
              <w:left w:val="single" w:sz="4" w:space="0" w:color="000000"/>
              <w:bottom w:val="single" w:sz="4" w:space="0" w:color="000000"/>
              <w:right w:val="single" w:sz="4" w:space="0" w:color="000000"/>
            </w:tcBorders>
            <w:vAlign w:val="center"/>
          </w:tcPr>
          <w:p w14:paraId="50D12CC0" w14:textId="77777777" w:rsidR="001739E0" w:rsidRPr="002B3D9F" w:rsidRDefault="001739E0" w:rsidP="00703869">
            <w:pPr>
              <w:spacing w:line="276" w:lineRule="auto"/>
              <w:ind w:left="65"/>
              <w:jc w:val="center"/>
              <w:rPr>
                <w:rFonts w:asciiTheme="minorHAnsi" w:hAnsiTheme="minorHAnsi" w:cstheme="minorHAnsi"/>
                <w:b/>
                <w:bCs/>
                <w:sz w:val="22"/>
                <w:szCs w:val="22"/>
                <w:lang w:val="el-GR"/>
              </w:rPr>
            </w:pPr>
            <w:r>
              <w:rPr>
                <w:rFonts w:asciiTheme="minorHAnsi" w:hAnsiTheme="minorHAnsi" w:cstheme="minorHAnsi"/>
                <w:b/>
                <w:bCs/>
                <w:sz w:val="22"/>
                <w:szCs w:val="22"/>
                <w:lang w:val="el-GR"/>
              </w:rPr>
              <w:t>8</w:t>
            </w:r>
          </w:p>
        </w:tc>
      </w:tr>
      <w:tr w:rsidR="001739E0" w:rsidRPr="006937D9" w14:paraId="460D7034" w14:textId="77777777" w:rsidTr="00703869">
        <w:trPr>
          <w:trHeight w:val="420"/>
        </w:trPr>
        <w:tc>
          <w:tcPr>
            <w:tcW w:w="774" w:type="dxa"/>
            <w:tcBorders>
              <w:top w:val="single" w:sz="4" w:space="0" w:color="000000"/>
              <w:left w:val="single" w:sz="4" w:space="0" w:color="000000"/>
              <w:bottom w:val="single" w:sz="4" w:space="0" w:color="000000"/>
              <w:right w:val="single" w:sz="4" w:space="0" w:color="000000"/>
            </w:tcBorders>
          </w:tcPr>
          <w:p w14:paraId="5EF5261C" w14:textId="77777777" w:rsidR="001739E0" w:rsidRPr="006937D9" w:rsidRDefault="001739E0" w:rsidP="00703869">
            <w:pPr>
              <w:spacing w:line="276" w:lineRule="auto"/>
              <w:ind w:left="59"/>
              <w:jc w:val="center"/>
              <w:rPr>
                <w:rFonts w:asciiTheme="minorHAnsi" w:hAnsiTheme="minorHAnsi" w:cstheme="minorHAnsi"/>
                <w:b/>
                <w:bCs/>
                <w:sz w:val="22"/>
                <w:szCs w:val="22"/>
              </w:rPr>
            </w:pPr>
            <w:r w:rsidRPr="006937D9">
              <w:rPr>
                <w:rFonts w:asciiTheme="minorHAnsi" w:hAnsiTheme="minorHAnsi" w:cstheme="minorHAnsi"/>
                <w:b/>
                <w:bCs/>
                <w:sz w:val="22"/>
                <w:szCs w:val="22"/>
              </w:rPr>
              <w:t>3</w:t>
            </w:r>
          </w:p>
        </w:tc>
        <w:tc>
          <w:tcPr>
            <w:tcW w:w="6516" w:type="dxa"/>
            <w:tcBorders>
              <w:top w:val="single" w:sz="4" w:space="0" w:color="000000"/>
              <w:left w:val="single" w:sz="4" w:space="0" w:color="000000"/>
              <w:bottom w:val="single" w:sz="4" w:space="0" w:color="000000"/>
              <w:right w:val="single" w:sz="4" w:space="0" w:color="000000"/>
            </w:tcBorders>
            <w:vAlign w:val="center"/>
          </w:tcPr>
          <w:p w14:paraId="7DC3E240" w14:textId="77777777" w:rsidR="001739E0" w:rsidRPr="006937D9" w:rsidRDefault="001739E0" w:rsidP="00703869">
            <w:pPr>
              <w:spacing w:line="276" w:lineRule="auto"/>
              <w:ind w:left="58"/>
              <w:rPr>
                <w:rFonts w:asciiTheme="minorHAnsi" w:hAnsiTheme="minorHAnsi" w:cstheme="minorHAnsi"/>
                <w:sz w:val="22"/>
                <w:szCs w:val="22"/>
                <w:lang w:val="el-GR"/>
              </w:rPr>
            </w:pPr>
            <w:r w:rsidRPr="006937D9">
              <w:rPr>
                <w:rFonts w:asciiTheme="minorHAnsi" w:hAnsiTheme="minorHAnsi" w:cstheme="minorHAnsi"/>
                <w:sz w:val="22"/>
                <w:szCs w:val="22"/>
                <w:lang w:val="el-GR"/>
              </w:rPr>
              <w:t>Λειτουργική Κερδοφορία Επιχείρησης - Κέρδη προ τόκων, φόρων και αποσβέσεων σε σχέση με Κύκλο Εργασιών  κατά την τελευταία 2ετία</w:t>
            </w:r>
          </w:p>
        </w:tc>
        <w:tc>
          <w:tcPr>
            <w:tcW w:w="1986" w:type="dxa"/>
            <w:tcBorders>
              <w:top w:val="single" w:sz="4" w:space="0" w:color="000000"/>
              <w:left w:val="single" w:sz="4" w:space="0" w:color="000000"/>
              <w:bottom w:val="single" w:sz="4" w:space="0" w:color="000000"/>
              <w:right w:val="single" w:sz="4" w:space="0" w:color="000000"/>
            </w:tcBorders>
            <w:vAlign w:val="center"/>
          </w:tcPr>
          <w:p w14:paraId="5ECBA889" w14:textId="77777777" w:rsidR="001739E0" w:rsidRPr="002B3D9F" w:rsidRDefault="001739E0" w:rsidP="00703869">
            <w:pPr>
              <w:spacing w:line="276" w:lineRule="auto"/>
              <w:ind w:left="65"/>
              <w:jc w:val="center"/>
              <w:rPr>
                <w:rFonts w:asciiTheme="minorHAnsi" w:hAnsiTheme="minorHAnsi" w:cstheme="minorHAnsi"/>
                <w:b/>
                <w:bCs/>
                <w:sz w:val="22"/>
                <w:szCs w:val="22"/>
                <w:lang w:val="el-GR"/>
              </w:rPr>
            </w:pPr>
            <w:r>
              <w:rPr>
                <w:rFonts w:asciiTheme="minorHAnsi" w:hAnsiTheme="minorHAnsi" w:cstheme="minorHAnsi"/>
                <w:b/>
                <w:bCs/>
                <w:sz w:val="22"/>
                <w:szCs w:val="22"/>
                <w:lang w:val="el-GR"/>
              </w:rPr>
              <w:t>8</w:t>
            </w:r>
          </w:p>
        </w:tc>
      </w:tr>
      <w:tr w:rsidR="001739E0" w:rsidRPr="006937D9" w14:paraId="1F8F5388" w14:textId="77777777" w:rsidTr="00703869">
        <w:trPr>
          <w:trHeight w:val="420"/>
        </w:trPr>
        <w:tc>
          <w:tcPr>
            <w:tcW w:w="774" w:type="dxa"/>
            <w:tcBorders>
              <w:top w:val="single" w:sz="4" w:space="0" w:color="000000"/>
              <w:left w:val="single" w:sz="4" w:space="0" w:color="000000"/>
              <w:bottom w:val="single" w:sz="4" w:space="0" w:color="000000"/>
              <w:right w:val="single" w:sz="4" w:space="0" w:color="000000"/>
            </w:tcBorders>
          </w:tcPr>
          <w:p w14:paraId="0C964BF7" w14:textId="77777777" w:rsidR="001739E0" w:rsidRPr="006937D9" w:rsidRDefault="001739E0" w:rsidP="00703869">
            <w:pPr>
              <w:spacing w:line="276" w:lineRule="auto"/>
              <w:ind w:left="59"/>
              <w:jc w:val="center"/>
              <w:rPr>
                <w:rFonts w:asciiTheme="minorHAnsi" w:hAnsiTheme="minorHAnsi" w:cstheme="minorHAnsi"/>
                <w:b/>
                <w:bCs/>
                <w:sz w:val="22"/>
                <w:szCs w:val="22"/>
              </w:rPr>
            </w:pPr>
            <w:r w:rsidRPr="006937D9">
              <w:rPr>
                <w:rFonts w:asciiTheme="minorHAnsi" w:hAnsiTheme="minorHAnsi" w:cstheme="minorHAnsi"/>
                <w:b/>
                <w:bCs/>
                <w:sz w:val="22"/>
                <w:szCs w:val="22"/>
              </w:rPr>
              <w:t>4</w:t>
            </w:r>
          </w:p>
        </w:tc>
        <w:tc>
          <w:tcPr>
            <w:tcW w:w="6516" w:type="dxa"/>
            <w:tcBorders>
              <w:top w:val="single" w:sz="4" w:space="0" w:color="000000"/>
              <w:left w:val="single" w:sz="4" w:space="0" w:color="000000"/>
              <w:bottom w:val="single" w:sz="4" w:space="0" w:color="000000"/>
              <w:right w:val="single" w:sz="4" w:space="0" w:color="000000"/>
            </w:tcBorders>
            <w:vAlign w:val="center"/>
          </w:tcPr>
          <w:p w14:paraId="7CED0ABC" w14:textId="77777777" w:rsidR="001739E0" w:rsidRPr="006937D9" w:rsidRDefault="001739E0" w:rsidP="00703869">
            <w:pPr>
              <w:spacing w:line="276" w:lineRule="auto"/>
              <w:ind w:left="54"/>
              <w:rPr>
                <w:rFonts w:asciiTheme="minorHAnsi" w:hAnsiTheme="minorHAnsi" w:cstheme="minorHAnsi"/>
                <w:sz w:val="22"/>
                <w:szCs w:val="22"/>
                <w:lang w:val="el-GR"/>
              </w:rPr>
            </w:pPr>
            <w:r w:rsidRPr="006937D9">
              <w:rPr>
                <w:rFonts w:asciiTheme="minorHAnsi" w:hAnsiTheme="minorHAnsi" w:cstheme="minorHAnsi"/>
                <w:sz w:val="22"/>
                <w:szCs w:val="22"/>
                <w:lang w:val="el-GR"/>
              </w:rPr>
              <w:t>Συνάφεια Επενδυτικού Σχεδίου της Επιχείρησης με την Εθνική Στρατηγική Έξυπνης Εξειδίκευσης 2021- 2027</w:t>
            </w:r>
          </w:p>
        </w:tc>
        <w:tc>
          <w:tcPr>
            <w:tcW w:w="1986" w:type="dxa"/>
            <w:tcBorders>
              <w:top w:val="single" w:sz="4" w:space="0" w:color="000000"/>
              <w:left w:val="single" w:sz="4" w:space="0" w:color="000000"/>
              <w:bottom w:val="single" w:sz="4" w:space="0" w:color="000000"/>
              <w:right w:val="single" w:sz="4" w:space="0" w:color="000000"/>
            </w:tcBorders>
            <w:vAlign w:val="center"/>
          </w:tcPr>
          <w:p w14:paraId="2CC1BD7E" w14:textId="77777777" w:rsidR="001739E0" w:rsidRPr="006937D9" w:rsidRDefault="001739E0" w:rsidP="00703869">
            <w:pPr>
              <w:spacing w:line="276" w:lineRule="auto"/>
              <w:ind w:left="65"/>
              <w:jc w:val="center"/>
              <w:rPr>
                <w:rFonts w:asciiTheme="minorHAnsi" w:hAnsiTheme="minorHAnsi" w:cstheme="minorHAnsi"/>
                <w:b/>
                <w:bCs/>
                <w:sz w:val="22"/>
                <w:szCs w:val="22"/>
              </w:rPr>
            </w:pPr>
            <w:r>
              <w:rPr>
                <w:rFonts w:asciiTheme="minorHAnsi" w:hAnsiTheme="minorHAnsi" w:cstheme="minorHAnsi"/>
                <w:b/>
                <w:bCs/>
                <w:sz w:val="22"/>
                <w:szCs w:val="22"/>
                <w:lang w:val="el-GR"/>
              </w:rPr>
              <w:t>8</w:t>
            </w:r>
          </w:p>
        </w:tc>
      </w:tr>
      <w:tr w:rsidR="001739E0" w:rsidRPr="006937D9" w14:paraId="48C0CDBE" w14:textId="77777777" w:rsidTr="00703869">
        <w:trPr>
          <w:trHeight w:val="420"/>
        </w:trPr>
        <w:tc>
          <w:tcPr>
            <w:tcW w:w="774" w:type="dxa"/>
            <w:tcBorders>
              <w:top w:val="single" w:sz="4" w:space="0" w:color="000000"/>
              <w:left w:val="single" w:sz="4" w:space="0" w:color="000000"/>
              <w:bottom w:val="single" w:sz="4" w:space="0" w:color="000000"/>
              <w:right w:val="single" w:sz="4" w:space="0" w:color="000000"/>
            </w:tcBorders>
          </w:tcPr>
          <w:p w14:paraId="58844A31" w14:textId="77777777" w:rsidR="001739E0" w:rsidRPr="006937D9" w:rsidRDefault="001739E0" w:rsidP="00703869">
            <w:pPr>
              <w:spacing w:line="276" w:lineRule="auto"/>
              <w:ind w:left="59"/>
              <w:jc w:val="center"/>
              <w:rPr>
                <w:rFonts w:asciiTheme="minorHAnsi" w:hAnsiTheme="minorHAnsi" w:cstheme="minorHAnsi"/>
                <w:b/>
                <w:bCs/>
                <w:sz w:val="22"/>
                <w:szCs w:val="22"/>
              </w:rPr>
            </w:pPr>
            <w:r w:rsidRPr="006937D9">
              <w:rPr>
                <w:rFonts w:asciiTheme="minorHAnsi" w:hAnsiTheme="minorHAnsi" w:cstheme="minorHAnsi"/>
                <w:b/>
                <w:bCs/>
                <w:sz w:val="22"/>
                <w:szCs w:val="22"/>
              </w:rPr>
              <w:t xml:space="preserve">5 </w:t>
            </w:r>
          </w:p>
        </w:tc>
        <w:tc>
          <w:tcPr>
            <w:tcW w:w="6516" w:type="dxa"/>
            <w:tcBorders>
              <w:top w:val="single" w:sz="4" w:space="0" w:color="000000"/>
              <w:left w:val="single" w:sz="4" w:space="0" w:color="000000"/>
              <w:bottom w:val="single" w:sz="4" w:space="0" w:color="000000"/>
              <w:right w:val="single" w:sz="4" w:space="0" w:color="000000"/>
            </w:tcBorders>
            <w:vAlign w:val="center"/>
          </w:tcPr>
          <w:p w14:paraId="661F2612" w14:textId="77777777" w:rsidR="001739E0" w:rsidRPr="006937D9" w:rsidRDefault="001739E0" w:rsidP="00703869">
            <w:pPr>
              <w:spacing w:line="276" w:lineRule="auto"/>
              <w:ind w:left="55"/>
              <w:rPr>
                <w:rFonts w:asciiTheme="minorHAnsi" w:hAnsiTheme="minorHAnsi" w:cstheme="minorHAnsi"/>
                <w:sz w:val="22"/>
                <w:szCs w:val="22"/>
                <w:lang w:val="el-GR"/>
              </w:rPr>
            </w:pPr>
            <w:r w:rsidRPr="006937D9">
              <w:rPr>
                <w:rFonts w:asciiTheme="minorHAnsi" w:hAnsiTheme="minorHAnsi" w:cstheme="minorHAnsi"/>
                <w:bCs/>
                <w:sz w:val="22"/>
                <w:szCs w:val="22"/>
                <w:lang w:val="el-GR"/>
              </w:rPr>
              <w:t>Αριθμός Εργαζομένων της Επιχείρησης  (ΕΜΕ Μισθωτής Εργασίας)</w:t>
            </w:r>
          </w:p>
        </w:tc>
        <w:tc>
          <w:tcPr>
            <w:tcW w:w="1986" w:type="dxa"/>
            <w:tcBorders>
              <w:top w:val="single" w:sz="4" w:space="0" w:color="000000"/>
              <w:left w:val="single" w:sz="4" w:space="0" w:color="000000"/>
              <w:bottom w:val="single" w:sz="4" w:space="0" w:color="000000"/>
              <w:right w:val="single" w:sz="4" w:space="0" w:color="000000"/>
            </w:tcBorders>
            <w:vAlign w:val="center"/>
          </w:tcPr>
          <w:p w14:paraId="54046C6F" w14:textId="77777777" w:rsidR="001739E0" w:rsidRPr="002B3D9F" w:rsidRDefault="001739E0" w:rsidP="00703869">
            <w:pPr>
              <w:spacing w:line="276" w:lineRule="auto"/>
              <w:ind w:left="65"/>
              <w:jc w:val="center"/>
              <w:rPr>
                <w:rFonts w:asciiTheme="minorHAnsi" w:hAnsiTheme="minorHAnsi" w:cstheme="minorHAnsi"/>
                <w:b/>
                <w:bCs/>
                <w:sz w:val="22"/>
                <w:szCs w:val="22"/>
                <w:lang w:val="el-GR"/>
              </w:rPr>
            </w:pPr>
            <w:r>
              <w:rPr>
                <w:rFonts w:asciiTheme="minorHAnsi" w:hAnsiTheme="minorHAnsi" w:cstheme="minorHAnsi"/>
                <w:b/>
                <w:sz w:val="22"/>
                <w:szCs w:val="22"/>
                <w:lang w:val="el-GR"/>
              </w:rPr>
              <w:t>8</w:t>
            </w:r>
          </w:p>
        </w:tc>
      </w:tr>
      <w:tr w:rsidR="001739E0" w:rsidRPr="002B3D9F" w14:paraId="0EF5D943" w14:textId="77777777" w:rsidTr="00703869">
        <w:trPr>
          <w:trHeight w:val="420"/>
        </w:trPr>
        <w:tc>
          <w:tcPr>
            <w:tcW w:w="774" w:type="dxa"/>
            <w:tcBorders>
              <w:top w:val="single" w:sz="4" w:space="0" w:color="000000"/>
              <w:left w:val="single" w:sz="4" w:space="0" w:color="000000"/>
              <w:bottom w:val="single" w:sz="4" w:space="0" w:color="000000"/>
              <w:right w:val="single" w:sz="4" w:space="0" w:color="000000"/>
            </w:tcBorders>
          </w:tcPr>
          <w:p w14:paraId="27A1CFB0" w14:textId="77777777" w:rsidR="001739E0" w:rsidRPr="006937D9" w:rsidRDefault="001739E0" w:rsidP="00703869">
            <w:pPr>
              <w:spacing w:line="276" w:lineRule="auto"/>
              <w:ind w:left="59"/>
              <w:jc w:val="center"/>
              <w:rPr>
                <w:rFonts w:asciiTheme="minorHAnsi" w:hAnsiTheme="minorHAnsi" w:cstheme="minorHAnsi"/>
                <w:b/>
                <w:bCs/>
                <w:sz w:val="22"/>
                <w:szCs w:val="22"/>
                <w:lang w:val="el-GR"/>
              </w:rPr>
            </w:pPr>
            <w:r>
              <w:rPr>
                <w:rFonts w:asciiTheme="minorHAnsi" w:hAnsiTheme="minorHAnsi" w:cstheme="minorHAnsi"/>
                <w:b/>
                <w:bCs/>
                <w:sz w:val="22"/>
                <w:szCs w:val="22"/>
                <w:lang w:val="el-GR"/>
              </w:rPr>
              <w:t>6</w:t>
            </w:r>
          </w:p>
        </w:tc>
        <w:tc>
          <w:tcPr>
            <w:tcW w:w="6516" w:type="dxa"/>
            <w:tcBorders>
              <w:top w:val="single" w:sz="4" w:space="0" w:color="000000"/>
              <w:left w:val="single" w:sz="4" w:space="0" w:color="000000"/>
              <w:bottom w:val="single" w:sz="4" w:space="0" w:color="000000"/>
              <w:right w:val="single" w:sz="4" w:space="0" w:color="000000"/>
            </w:tcBorders>
            <w:vAlign w:val="center"/>
          </w:tcPr>
          <w:p w14:paraId="05A9485E" w14:textId="77777777" w:rsidR="001739E0" w:rsidRPr="006937D9" w:rsidRDefault="001739E0" w:rsidP="00703869">
            <w:pPr>
              <w:spacing w:line="276" w:lineRule="auto"/>
              <w:ind w:left="55"/>
              <w:rPr>
                <w:rFonts w:asciiTheme="minorHAnsi" w:hAnsiTheme="minorHAnsi" w:cstheme="minorHAnsi"/>
                <w:bCs/>
                <w:sz w:val="22"/>
                <w:szCs w:val="22"/>
                <w:lang w:val="el-GR"/>
              </w:rPr>
            </w:pPr>
            <w:r w:rsidRPr="002B3D9F">
              <w:rPr>
                <w:rFonts w:asciiTheme="minorHAnsi" w:hAnsiTheme="minorHAnsi" w:cstheme="minorHAnsi"/>
                <w:bCs/>
                <w:sz w:val="22"/>
                <w:szCs w:val="22"/>
                <w:lang w:val="el-GR"/>
              </w:rPr>
              <w:t>Υιοθέτηση Πράσινων Τεχνολογιών και Οικολογικών Λύσεων</w:t>
            </w:r>
          </w:p>
        </w:tc>
        <w:tc>
          <w:tcPr>
            <w:tcW w:w="1986" w:type="dxa"/>
            <w:tcBorders>
              <w:top w:val="single" w:sz="4" w:space="0" w:color="000000"/>
              <w:left w:val="single" w:sz="4" w:space="0" w:color="000000"/>
              <w:bottom w:val="single" w:sz="4" w:space="0" w:color="000000"/>
              <w:right w:val="single" w:sz="4" w:space="0" w:color="000000"/>
            </w:tcBorders>
            <w:vAlign w:val="center"/>
          </w:tcPr>
          <w:p w14:paraId="4A49DED1" w14:textId="77777777" w:rsidR="001739E0" w:rsidRPr="002B3D9F" w:rsidRDefault="001739E0" w:rsidP="00703869">
            <w:pPr>
              <w:spacing w:line="276" w:lineRule="auto"/>
              <w:ind w:left="65"/>
              <w:jc w:val="center"/>
              <w:rPr>
                <w:rFonts w:asciiTheme="minorHAnsi" w:hAnsiTheme="minorHAnsi" w:cstheme="minorHAnsi"/>
                <w:b/>
                <w:sz w:val="22"/>
                <w:szCs w:val="22"/>
                <w:lang w:val="el-GR"/>
              </w:rPr>
            </w:pPr>
            <w:r>
              <w:rPr>
                <w:rFonts w:asciiTheme="minorHAnsi" w:hAnsiTheme="minorHAnsi" w:cstheme="minorHAnsi"/>
                <w:b/>
                <w:sz w:val="22"/>
                <w:szCs w:val="22"/>
                <w:lang w:val="el-GR"/>
              </w:rPr>
              <w:t>8</w:t>
            </w:r>
          </w:p>
        </w:tc>
      </w:tr>
      <w:tr w:rsidR="001739E0" w:rsidRPr="006937D9" w14:paraId="4FBE8C9D" w14:textId="77777777" w:rsidTr="00703869">
        <w:trPr>
          <w:trHeight w:val="420"/>
        </w:trPr>
        <w:tc>
          <w:tcPr>
            <w:tcW w:w="774" w:type="dxa"/>
            <w:tcBorders>
              <w:top w:val="single" w:sz="4" w:space="0" w:color="000000"/>
              <w:left w:val="single" w:sz="4" w:space="0" w:color="000000"/>
              <w:bottom w:val="single" w:sz="4" w:space="0" w:color="000000"/>
              <w:right w:val="single" w:sz="4" w:space="0" w:color="000000"/>
            </w:tcBorders>
          </w:tcPr>
          <w:p w14:paraId="089C90F2" w14:textId="77777777" w:rsidR="001739E0" w:rsidRPr="006937D9" w:rsidRDefault="001739E0" w:rsidP="00703869">
            <w:pPr>
              <w:spacing w:line="276" w:lineRule="auto"/>
              <w:ind w:left="59"/>
              <w:jc w:val="center"/>
              <w:rPr>
                <w:rFonts w:asciiTheme="minorHAnsi" w:hAnsiTheme="minorHAnsi" w:cstheme="minorHAnsi"/>
                <w:b/>
                <w:bCs/>
                <w:sz w:val="22"/>
                <w:szCs w:val="22"/>
                <w:lang w:val="el-GR"/>
              </w:rPr>
            </w:pPr>
            <w:r>
              <w:rPr>
                <w:rFonts w:asciiTheme="minorHAnsi" w:hAnsiTheme="minorHAnsi" w:cstheme="minorHAnsi"/>
                <w:b/>
                <w:bCs/>
                <w:sz w:val="22"/>
                <w:szCs w:val="22"/>
                <w:lang w:val="el-GR"/>
              </w:rPr>
              <w:t>7</w:t>
            </w:r>
          </w:p>
        </w:tc>
        <w:tc>
          <w:tcPr>
            <w:tcW w:w="6516" w:type="dxa"/>
            <w:tcBorders>
              <w:top w:val="single" w:sz="4" w:space="0" w:color="000000"/>
              <w:left w:val="single" w:sz="4" w:space="0" w:color="000000"/>
              <w:bottom w:val="single" w:sz="4" w:space="0" w:color="000000"/>
              <w:right w:val="single" w:sz="4" w:space="0" w:color="000000"/>
            </w:tcBorders>
            <w:vAlign w:val="center"/>
          </w:tcPr>
          <w:p w14:paraId="797150D4" w14:textId="77777777" w:rsidR="001739E0" w:rsidRPr="006937D9" w:rsidRDefault="001739E0" w:rsidP="00703869">
            <w:pPr>
              <w:spacing w:line="276" w:lineRule="auto"/>
              <w:ind w:left="55"/>
              <w:rPr>
                <w:rFonts w:asciiTheme="minorHAnsi" w:hAnsiTheme="minorHAnsi" w:cstheme="minorHAnsi"/>
                <w:bCs/>
                <w:sz w:val="22"/>
                <w:szCs w:val="22"/>
                <w:lang w:val="el-GR"/>
              </w:rPr>
            </w:pPr>
            <w:r w:rsidRPr="006937D9">
              <w:rPr>
                <w:rFonts w:asciiTheme="minorHAnsi" w:hAnsiTheme="minorHAnsi" w:cstheme="minorHAnsi"/>
                <w:bCs/>
                <w:sz w:val="22"/>
                <w:szCs w:val="22"/>
                <w:lang w:val="el-GR"/>
              </w:rPr>
              <w:t>Αύξηση απασχόλησης (ΕΜΕ Μισθωτής Εργασίας)</w:t>
            </w:r>
          </w:p>
        </w:tc>
        <w:tc>
          <w:tcPr>
            <w:tcW w:w="1986" w:type="dxa"/>
            <w:tcBorders>
              <w:top w:val="single" w:sz="4" w:space="0" w:color="000000"/>
              <w:left w:val="single" w:sz="4" w:space="0" w:color="000000"/>
              <w:bottom w:val="single" w:sz="4" w:space="0" w:color="000000"/>
              <w:right w:val="single" w:sz="4" w:space="0" w:color="000000"/>
            </w:tcBorders>
            <w:vAlign w:val="center"/>
          </w:tcPr>
          <w:p w14:paraId="0B36C8B5" w14:textId="77777777" w:rsidR="001739E0" w:rsidRPr="006937D9" w:rsidRDefault="001739E0" w:rsidP="00703869">
            <w:pPr>
              <w:spacing w:line="276" w:lineRule="auto"/>
              <w:ind w:left="65"/>
              <w:jc w:val="center"/>
              <w:rPr>
                <w:rFonts w:asciiTheme="minorHAnsi" w:hAnsiTheme="minorHAnsi" w:cstheme="minorHAnsi"/>
                <w:b/>
                <w:sz w:val="22"/>
                <w:szCs w:val="22"/>
              </w:rPr>
            </w:pPr>
            <w:r w:rsidRPr="006937D9">
              <w:rPr>
                <w:rFonts w:asciiTheme="minorHAnsi" w:hAnsiTheme="minorHAnsi" w:cstheme="minorHAnsi"/>
                <w:b/>
                <w:sz w:val="22"/>
                <w:szCs w:val="22"/>
              </w:rPr>
              <w:t>30</w:t>
            </w:r>
          </w:p>
        </w:tc>
      </w:tr>
      <w:bookmarkEnd w:id="0"/>
    </w:tbl>
    <w:p w14:paraId="018C3EAF" w14:textId="77777777" w:rsidR="001739E0" w:rsidRDefault="001739E0" w:rsidP="001739E0">
      <w:pPr>
        <w:spacing w:before="60" w:after="60" w:line="288" w:lineRule="auto"/>
        <w:rPr>
          <w:rFonts w:asciiTheme="minorHAnsi" w:hAnsiTheme="minorHAnsi" w:cstheme="minorHAnsi"/>
          <w:b/>
          <w:bCs/>
          <w:sz w:val="22"/>
          <w:szCs w:val="22"/>
          <w:u w:val="single"/>
          <w:lang w:val="el-GR"/>
        </w:rPr>
      </w:pPr>
    </w:p>
    <w:p w14:paraId="5FBFA003" w14:textId="77777777" w:rsidR="001739E0" w:rsidRDefault="001739E0" w:rsidP="001739E0">
      <w:pPr>
        <w:spacing w:before="60" w:after="60" w:line="288" w:lineRule="auto"/>
        <w:rPr>
          <w:rFonts w:asciiTheme="minorHAnsi" w:hAnsiTheme="minorHAnsi" w:cstheme="minorHAnsi"/>
          <w:b/>
          <w:bCs/>
          <w:sz w:val="22"/>
          <w:szCs w:val="22"/>
          <w:u w:val="single"/>
          <w:lang w:val="el-GR"/>
        </w:rPr>
      </w:pPr>
    </w:p>
    <w:p w14:paraId="5659A4B8" w14:textId="77777777" w:rsidR="001739E0" w:rsidRPr="006937D9" w:rsidRDefault="001739E0" w:rsidP="001739E0">
      <w:pPr>
        <w:spacing w:before="60" w:after="60" w:line="288" w:lineRule="auto"/>
        <w:rPr>
          <w:rFonts w:asciiTheme="minorHAnsi" w:hAnsiTheme="minorHAnsi" w:cstheme="minorHAnsi"/>
          <w:b/>
          <w:bCs/>
          <w:sz w:val="22"/>
          <w:szCs w:val="22"/>
          <w:u w:val="single"/>
          <w:lang w:val="el-GR"/>
        </w:rPr>
      </w:pPr>
    </w:p>
    <w:p w14:paraId="7C4D8122" w14:textId="77777777" w:rsidR="001739E0" w:rsidRPr="006937D9" w:rsidRDefault="001739E0" w:rsidP="001739E0">
      <w:pPr>
        <w:spacing w:before="60" w:after="60" w:line="288" w:lineRule="auto"/>
        <w:rPr>
          <w:rFonts w:asciiTheme="minorHAnsi" w:hAnsiTheme="minorHAnsi" w:cstheme="minorHAnsi"/>
          <w:b/>
          <w:bCs/>
          <w:sz w:val="22"/>
          <w:szCs w:val="22"/>
          <w:u w:val="single"/>
          <w:lang w:val="el-GR"/>
        </w:rPr>
      </w:pPr>
      <w:r w:rsidRPr="006937D9">
        <w:rPr>
          <w:rFonts w:asciiTheme="minorHAnsi" w:hAnsiTheme="minorHAnsi" w:cstheme="minorHAnsi"/>
          <w:b/>
          <w:bCs/>
          <w:sz w:val="22"/>
          <w:szCs w:val="22"/>
          <w:u w:val="single"/>
          <w:lang w:val="el-GR"/>
        </w:rPr>
        <w:t>Κριτήριο 1: Διαθέσιμα Κεφάλαια σε σχέση με τον Συνολικό Π/Υ του Επενδυτικού Σχεδίου</w:t>
      </w:r>
    </w:p>
    <w:p w14:paraId="445FF315" w14:textId="77777777" w:rsidR="001739E0" w:rsidRPr="006937D9" w:rsidRDefault="001739E0" w:rsidP="001739E0">
      <w:pPr>
        <w:spacing w:before="60" w:after="60" w:line="288" w:lineRule="auto"/>
        <w:ind w:left="-5"/>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Το κριτήριο 1 μετρά το ποσοστό των διαθέσιμων κεφαλαίων της επιχείρησης σε σχέση με το συνολικό προϋπολογισμό της επένδυσης. Η απόδειξη διαθέσιμων κεφαλαίων μπορεί να γίνει με τους κάτωθι τρόπους:   </w:t>
      </w:r>
    </w:p>
    <w:p w14:paraId="2FFD4A11" w14:textId="77777777" w:rsidR="001739E0" w:rsidRPr="006937D9" w:rsidRDefault="001739E0" w:rsidP="001739E0">
      <w:pPr>
        <w:pStyle w:val="ListParagraph"/>
        <w:numPr>
          <w:ilvl w:val="1"/>
          <w:numId w:val="2"/>
        </w:numPr>
        <w:spacing w:before="60" w:after="60" w:line="288"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εξ ολοκλήρου με ιδία της επιχείρησης κεφάλαια,  </w:t>
      </w:r>
    </w:p>
    <w:p w14:paraId="230F350F" w14:textId="77777777" w:rsidR="001739E0" w:rsidRPr="006937D9" w:rsidRDefault="001739E0" w:rsidP="001739E0">
      <w:pPr>
        <w:pStyle w:val="ListParagraph"/>
        <w:numPr>
          <w:ilvl w:val="1"/>
          <w:numId w:val="2"/>
        </w:numPr>
        <w:spacing w:before="60" w:after="60" w:line="288"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εξ ολοκλήρου με δανεισμό </w:t>
      </w:r>
      <w:bookmarkStart w:id="1" w:name="_Hlk158302429"/>
      <w:r w:rsidRPr="006937D9">
        <w:rPr>
          <w:rFonts w:asciiTheme="minorHAnsi" w:hAnsiTheme="minorHAnsi" w:cstheme="minorHAnsi"/>
          <w:sz w:val="22"/>
          <w:szCs w:val="22"/>
          <w:lang w:val="el-GR"/>
        </w:rPr>
        <w:t>(σύμβαση</w:t>
      </w:r>
      <w:r>
        <w:rPr>
          <w:rFonts w:asciiTheme="minorHAnsi" w:hAnsiTheme="minorHAnsi" w:cstheme="minorHAnsi"/>
          <w:sz w:val="22"/>
          <w:szCs w:val="22"/>
          <w:lang w:val="el-GR"/>
        </w:rPr>
        <w:t>,</w:t>
      </w:r>
      <w:r w:rsidRPr="006937D9">
        <w:rPr>
          <w:rFonts w:asciiTheme="minorHAnsi" w:hAnsiTheme="minorHAnsi" w:cstheme="minorHAnsi"/>
          <w:sz w:val="22"/>
          <w:szCs w:val="22"/>
          <w:lang w:val="el-GR"/>
        </w:rPr>
        <w:t xml:space="preserve"> έγκριση δανείου</w:t>
      </w:r>
      <w:r>
        <w:rPr>
          <w:rFonts w:asciiTheme="minorHAnsi" w:hAnsiTheme="minorHAnsi" w:cstheme="minorHAnsi"/>
          <w:sz w:val="22"/>
          <w:szCs w:val="22"/>
          <w:lang w:val="el-GR"/>
        </w:rPr>
        <w:t xml:space="preserve"> ή πρόθεση</w:t>
      </w:r>
      <w:r w:rsidRPr="006937D9">
        <w:rPr>
          <w:rFonts w:asciiTheme="minorHAnsi" w:hAnsiTheme="minorHAnsi" w:cstheme="minorHAnsi"/>
          <w:sz w:val="22"/>
          <w:szCs w:val="22"/>
          <w:lang w:val="el-GR"/>
        </w:rPr>
        <w:t xml:space="preserve">) </w:t>
      </w:r>
      <w:bookmarkEnd w:id="1"/>
      <w:r w:rsidRPr="006937D9">
        <w:rPr>
          <w:rFonts w:asciiTheme="minorHAnsi" w:hAnsiTheme="minorHAnsi" w:cstheme="minorHAnsi"/>
          <w:sz w:val="22"/>
          <w:szCs w:val="22"/>
          <w:lang w:val="el-GR"/>
        </w:rPr>
        <w:t xml:space="preserve">από Τράπεζα  </w:t>
      </w:r>
    </w:p>
    <w:p w14:paraId="197353D9" w14:textId="77777777" w:rsidR="001739E0" w:rsidRPr="006937D9" w:rsidRDefault="001739E0" w:rsidP="001739E0">
      <w:pPr>
        <w:pStyle w:val="ListParagraph"/>
        <w:numPr>
          <w:ilvl w:val="1"/>
          <w:numId w:val="2"/>
        </w:numPr>
        <w:spacing w:before="60" w:after="60" w:line="288" w:lineRule="auto"/>
        <w:rPr>
          <w:rFonts w:asciiTheme="minorHAnsi" w:hAnsiTheme="minorHAnsi" w:cstheme="minorHAnsi"/>
          <w:sz w:val="22"/>
          <w:szCs w:val="22"/>
        </w:rPr>
      </w:pPr>
      <w:r w:rsidRPr="006937D9">
        <w:rPr>
          <w:rFonts w:asciiTheme="minorHAnsi" w:hAnsiTheme="minorHAnsi" w:cstheme="minorHAnsi"/>
          <w:sz w:val="22"/>
          <w:szCs w:val="22"/>
        </w:rPr>
        <w:t xml:space="preserve">συνδυασμό των ανωτέρω </w:t>
      </w:r>
    </w:p>
    <w:p w14:paraId="786465AC" w14:textId="77777777" w:rsidR="001739E0" w:rsidRPr="006937D9" w:rsidRDefault="001739E0" w:rsidP="001739E0">
      <w:pPr>
        <w:spacing w:before="60" w:after="60" w:line="288"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(βλ. ΠΑΡΑΡΤΗΜΑ </w:t>
      </w:r>
      <w:r w:rsidRPr="006937D9">
        <w:rPr>
          <w:rFonts w:asciiTheme="minorHAnsi" w:hAnsiTheme="minorHAnsi" w:cstheme="minorHAnsi"/>
          <w:sz w:val="22"/>
          <w:szCs w:val="22"/>
        </w:rPr>
        <w:t>II</w:t>
      </w:r>
      <w:r w:rsidRPr="006937D9">
        <w:rPr>
          <w:rFonts w:asciiTheme="minorHAnsi" w:hAnsiTheme="minorHAnsi" w:cstheme="minorHAnsi"/>
          <w:sz w:val="22"/>
          <w:szCs w:val="22"/>
          <w:lang w:val="el-GR"/>
        </w:rPr>
        <w:t>Ι ΔΙΚΑΙΟΛΟΓΗΤΙΚΑ ΥΠΟΒΟΛΗΣ / ΕΝΤΑΞΗΣ)</w:t>
      </w:r>
    </w:p>
    <w:p w14:paraId="3E9D8061" w14:textId="77777777" w:rsidR="001739E0" w:rsidRPr="006937D9" w:rsidRDefault="001739E0" w:rsidP="001739E0">
      <w:pPr>
        <w:spacing w:before="60" w:after="60" w:line="288" w:lineRule="auto"/>
        <w:rPr>
          <w:rFonts w:asciiTheme="minorHAnsi" w:hAnsiTheme="minorHAnsi" w:cstheme="minorHAnsi"/>
          <w:sz w:val="8"/>
          <w:szCs w:val="8"/>
          <w:lang w:val="el-GR"/>
        </w:rPr>
      </w:pPr>
    </w:p>
    <w:p w14:paraId="3B52DDAF" w14:textId="77777777" w:rsidR="001739E0" w:rsidRPr="006937D9" w:rsidRDefault="001739E0" w:rsidP="001739E0">
      <w:pPr>
        <w:spacing w:before="60" w:after="60" w:line="288"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Ο δείκτης υπολογίζεται ως εξής:</w:t>
      </w:r>
    </w:p>
    <w:p w14:paraId="750F513F" w14:textId="77777777" w:rsidR="001739E0" w:rsidRPr="00D7693A" w:rsidRDefault="001739E0" w:rsidP="001739E0">
      <w:pPr>
        <w:spacing w:before="60" w:after="60" w:line="288" w:lineRule="auto"/>
        <w:ind w:left="-15" w:firstLine="960"/>
        <w:jc w:val="center"/>
        <w:rPr>
          <w:rFonts w:asciiTheme="minorHAnsi" w:hAnsiTheme="minorHAnsi" w:cstheme="minorHAnsi"/>
          <w:sz w:val="22"/>
          <w:szCs w:val="22"/>
          <w:u w:val="single"/>
          <w:lang w:val="el-GR"/>
        </w:rPr>
      </w:pPr>
      <w:r w:rsidRPr="00D7693A">
        <w:rPr>
          <w:rFonts w:asciiTheme="minorHAnsi" w:hAnsiTheme="minorHAnsi" w:cstheme="minorHAnsi"/>
          <w:sz w:val="22"/>
          <w:szCs w:val="22"/>
          <w:u w:val="single"/>
          <w:lang w:val="el-GR"/>
        </w:rPr>
        <w:t>Διαθέσιμα Κεφάλαια = Διαθέσιμο Ποσό/Συνολικό Προϋπολογισμό</w:t>
      </w:r>
    </w:p>
    <w:p w14:paraId="67ACD372" w14:textId="77777777" w:rsidR="001739E0" w:rsidRPr="006937D9" w:rsidRDefault="001739E0" w:rsidP="001739E0">
      <w:pPr>
        <w:numPr>
          <w:ilvl w:val="0"/>
          <w:numId w:val="1"/>
        </w:numPr>
        <w:spacing w:before="60" w:after="60" w:line="360" w:lineRule="auto"/>
        <w:ind w:left="426" w:hanging="360"/>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Στην περίπτωση που η τιμή του δείκτη είναι μικρότερη από 0,3 το κριτήριο λαμβάνει βαθμό μηδέν, </w:t>
      </w:r>
      <w:r w:rsidRPr="006937D9">
        <w:rPr>
          <w:rFonts w:asciiTheme="minorHAnsi" w:hAnsiTheme="minorHAnsi" w:cstheme="minorHAnsi"/>
          <w:b/>
          <w:sz w:val="22"/>
          <w:szCs w:val="22"/>
          <w:u w:val="single" w:color="000000"/>
          <w:lang w:val="el-GR"/>
        </w:rPr>
        <w:t>Βαθμός=0</w:t>
      </w:r>
      <w:r w:rsidRPr="006937D9">
        <w:rPr>
          <w:rFonts w:asciiTheme="minorHAnsi" w:hAnsiTheme="minorHAnsi" w:cstheme="minorHAnsi"/>
          <w:sz w:val="22"/>
          <w:szCs w:val="22"/>
          <w:lang w:val="el-GR"/>
        </w:rPr>
        <w:t xml:space="preserve">. </w:t>
      </w:r>
    </w:p>
    <w:p w14:paraId="6C38BC77" w14:textId="77777777" w:rsidR="001739E0" w:rsidRPr="006937D9" w:rsidRDefault="001739E0" w:rsidP="001739E0">
      <w:pPr>
        <w:numPr>
          <w:ilvl w:val="0"/>
          <w:numId w:val="1"/>
        </w:numPr>
        <w:spacing w:before="60" w:after="60" w:line="360" w:lineRule="auto"/>
        <w:ind w:left="426" w:hanging="360"/>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lastRenderedPageBreak/>
        <w:t>Στην περίπτωση που η τιμή του δείκτη είναι ίση ή μεγαλύτερη από 1</w:t>
      </w:r>
      <w:r>
        <w:rPr>
          <w:rFonts w:asciiTheme="minorHAnsi" w:hAnsiTheme="minorHAnsi" w:cstheme="minorHAnsi"/>
          <w:sz w:val="22"/>
          <w:szCs w:val="22"/>
          <w:lang w:val="el-GR"/>
        </w:rPr>
        <w:t xml:space="preserve"> </w:t>
      </w:r>
      <w:r w:rsidRPr="006937D9">
        <w:rPr>
          <w:rFonts w:asciiTheme="minorHAnsi" w:hAnsiTheme="minorHAnsi" w:cstheme="minorHAnsi"/>
          <w:sz w:val="22"/>
          <w:szCs w:val="22"/>
          <w:lang w:val="el-GR"/>
        </w:rPr>
        <w:t xml:space="preserve">το κριτήριο λαμβάνει τον μέγιστο βαθμό τριάντα,  </w:t>
      </w:r>
      <w:r w:rsidRPr="006937D9">
        <w:rPr>
          <w:rFonts w:asciiTheme="minorHAnsi" w:hAnsiTheme="minorHAnsi" w:cstheme="minorHAnsi"/>
          <w:b/>
          <w:sz w:val="22"/>
          <w:szCs w:val="22"/>
          <w:u w:val="single" w:color="000000"/>
          <w:lang w:val="el-GR"/>
        </w:rPr>
        <w:t>Βαθμός=30</w:t>
      </w:r>
      <w:r w:rsidRPr="006937D9">
        <w:rPr>
          <w:rFonts w:asciiTheme="minorHAnsi" w:hAnsiTheme="minorHAnsi" w:cstheme="minorHAnsi"/>
          <w:sz w:val="22"/>
          <w:szCs w:val="22"/>
          <w:lang w:val="el-GR"/>
        </w:rPr>
        <w:t xml:space="preserve">. </w:t>
      </w:r>
    </w:p>
    <w:p w14:paraId="57A30B54" w14:textId="77777777" w:rsidR="001739E0" w:rsidRPr="006937D9" w:rsidRDefault="001739E0" w:rsidP="001739E0">
      <w:pPr>
        <w:numPr>
          <w:ilvl w:val="0"/>
          <w:numId w:val="1"/>
        </w:numPr>
        <w:spacing w:before="60" w:after="60" w:line="360" w:lineRule="auto"/>
        <w:ind w:left="426" w:hanging="360"/>
        <w:rPr>
          <w:rFonts w:asciiTheme="minorHAnsi" w:hAnsiTheme="minorHAnsi" w:cstheme="minorHAnsi"/>
          <w:sz w:val="22"/>
          <w:szCs w:val="22"/>
          <w:lang w:val="el-GR"/>
        </w:rPr>
      </w:pPr>
      <w:r w:rsidRPr="006937D9">
        <w:rPr>
          <w:rFonts w:asciiTheme="minorHAnsi" w:hAnsiTheme="minorHAnsi" w:cstheme="minorHAnsi"/>
          <w:sz w:val="22"/>
          <w:szCs w:val="22"/>
          <w:lang w:val="el-GR"/>
        </w:rPr>
        <w:t>Στην περίπτωση που η τιμή του δείκτη είναι</w:t>
      </w:r>
      <w:r>
        <w:rPr>
          <w:rFonts w:asciiTheme="minorHAnsi" w:hAnsiTheme="minorHAnsi" w:cstheme="minorHAnsi"/>
          <w:sz w:val="22"/>
          <w:szCs w:val="22"/>
          <w:lang w:val="el-GR"/>
        </w:rPr>
        <w:t xml:space="preserve"> ίση ή</w:t>
      </w:r>
      <w:r w:rsidRPr="006937D9">
        <w:rPr>
          <w:rFonts w:asciiTheme="minorHAnsi" w:hAnsiTheme="minorHAnsi" w:cstheme="minorHAnsi"/>
          <w:sz w:val="22"/>
          <w:szCs w:val="22"/>
          <w:lang w:val="el-GR"/>
        </w:rPr>
        <w:t xml:space="preserve"> μεγαλύτερη</w:t>
      </w:r>
      <w:r>
        <w:rPr>
          <w:rFonts w:asciiTheme="minorHAnsi" w:hAnsiTheme="minorHAnsi" w:cstheme="minorHAnsi"/>
          <w:sz w:val="22"/>
          <w:szCs w:val="22"/>
          <w:lang w:val="el-GR"/>
        </w:rPr>
        <w:t xml:space="preserve"> </w:t>
      </w:r>
      <w:r w:rsidRPr="006937D9">
        <w:rPr>
          <w:rFonts w:asciiTheme="minorHAnsi" w:hAnsiTheme="minorHAnsi" w:cstheme="minorHAnsi"/>
          <w:sz w:val="22"/>
          <w:szCs w:val="22"/>
          <w:lang w:val="el-GR"/>
        </w:rPr>
        <w:t xml:space="preserve">από 0,3 και μικρότερη από 1 ο βαθμός του κριτηρίου υπολογίζεται από τον τύπο: </w:t>
      </w:r>
      <w:r w:rsidRPr="006937D9">
        <w:rPr>
          <w:rFonts w:asciiTheme="minorHAnsi" w:hAnsiTheme="minorHAnsi" w:cstheme="minorHAnsi"/>
          <w:b/>
          <w:sz w:val="22"/>
          <w:szCs w:val="22"/>
          <w:u w:val="single" w:color="000000"/>
          <w:lang w:val="el-GR"/>
        </w:rPr>
        <w:t>Βαθμός = 30 * (0,30 + 0,70 * (Διαθέσιμο Ποσό/Συνολικό Π/Υ))</w:t>
      </w:r>
    </w:p>
    <w:p w14:paraId="24F67726" w14:textId="77777777" w:rsidR="001739E0" w:rsidRDefault="001739E0" w:rsidP="001739E0">
      <w:pPr>
        <w:spacing w:before="60" w:after="60" w:line="288" w:lineRule="auto"/>
        <w:rPr>
          <w:rFonts w:asciiTheme="minorHAnsi" w:hAnsiTheme="minorHAnsi" w:cstheme="minorHAnsi"/>
          <w:sz w:val="22"/>
          <w:szCs w:val="22"/>
          <w:lang w:val="el-GR"/>
        </w:rPr>
      </w:pPr>
    </w:p>
    <w:p w14:paraId="1E45BA48" w14:textId="77777777" w:rsidR="001739E0" w:rsidRPr="006937D9" w:rsidRDefault="001739E0" w:rsidP="001739E0">
      <w:pPr>
        <w:spacing w:before="60" w:after="60" w:line="288" w:lineRule="auto"/>
        <w:ind w:left="284" w:hanging="284"/>
        <w:rPr>
          <w:rFonts w:asciiTheme="minorHAnsi" w:hAnsiTheme="minorHAnsi" w:cstheme="minorHAnsi"/>
          <w:b/>
          <w:bCs/>
          <w:sz w:val="22"/>
          <w:szCs w:val="22"/>
          <w:u w:val="single"/>
          <w:lang w:val="el-GR"/>
        </w:rPr>
      </w:pPr>
      <w:bookmarkStart w:id="2" w:name="_Hlk195290208"/>
      <w:r w:rsidRPr="006937D9">
        <w:rPr>
          <w:rFonts w:asciiTheme="minorHAnsi" w:hAnsiTheme="minorHAnsi" w:cstheme="minorHAnsi"/>
          <w:b/>
          <w:bCs/>
          <w:sz w:val="22"/>
          <w:szCs w:val="22"/>
          <w:u w:val="single"/>
          <w:lang w:val="el-GR"/>
        </w:rPr>
        <w:t>Κριτήριο 2: Ρυθμός μεταβολής κύκλου εργασιών κατά την τελευταία 2ετία</w:t>
      </w:r>
      <w:bookmarkEnd w:id="2"/>
    </w:p>
    <w:p w14:paraId="74082EF3" w14:textId="77777777" w:rsidR="001739E0" w:rsidRDefault="001739E0" w:rsidP="001739E0">
      <w:pPr>
        <w:spacing w:before="60" w:after="60" w:line="288"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Το κριτήριο 2 υπολογίζει τον ρυθμό μεταβολής του κύκλου εργασιών (κωδικός 500 του Ε3) κατά</w:t>
      </w:r>
      <w:r>
        <w:rPr>
          <w:rFonts w:asciiTheme="minorHAnsi" w:hAnsiTheme="minorHAnsi" w:cstheme="minorHAnsi"/>
          <w:sz w:val="22"/>
          <w:szCs w:val="22"/>
          <w:lang w:val="el-GR"/>
        </w:rPr>
        <w:t xml:space="preserve"> </w:t>
      </w:r>
      <w:r w:rsidRPr="006937D9">
        <w:rPr>
          <w:rFonts w:asciiTheme="minorHAnsi" w:hAnsiTheme="minorHAnsi" w:cstheme="minorHAnsi"/>
          <w:sz w:val="22"/>
          <w:szCs w:val="22"/>
          <w:lang w:val="el-GR"/>
        </w:rPr>
        <w:t xml:space="preserve">την τελευταία 2ετία. Ο δείκτης υπολογίζεται ως εξής: </w:t>
      </w:r>
    </w:p>
    <w:p w14:paraId="78FE1576" w14:textId="77777777" w:rsidR="001739E0" w:rsidRPr="006937D9" w:rsidRDefault="001739E0" w:rsidP="001739E0">
      <w:pPr>
        <w:spacing w:before="60" w:after="60" w:line="288" w:lineRule="auto"/>
        <w:ind w:left="284" w:hanging="284"/>
        <w:rPr>
          <w:rFonts w:asciiTheme="minorHAnsi" w:hAnsiTheme="minorHAnsi" w:cstheme="minorHAnsi"/>
          <w:sz w:val="22"/>
          <w:szCs w:val="22"/>
          <w:lang w:val="el-GR"/>
        </w:rPr>
      </w:pPr>
    </w:p>
    <w:p w14:paraId="468A535E" w14:textId="77777777" w:rsidR="001739E0" w:rsidRDefault="001739E0" w:rsidP="001739E0">
      <w:pPr>
        <w:spacing w:before="60" w:after="60" w:line="288" w:lineRule="auto"/>
        <w:ind w:left="284" w:hanging="284"/>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Ρυθμός Μεταβολής Κ.Ε. = </w:t>
      </w:r>
      <w:r>
        <w:rPr>
          <w:rFonts w:asciiTheme="minorHAnsi" w:hAnsiTheme="minorHAnsi" w:cstheme="minorHAnsi"/>
          <w:sz w:val="22"/>
          <w:szCs w:val="22"/>
          <w:lang w:val="el-GR"/>
        </w:rPr>
        <w:t>[</w:t>
      </w:r>
      <w:r w:rsidRPr="006937D9">
        <w:rPr>
          <w:rFonts w:asciiTheme="minorHAnsi" w:hAnsiTheme="minorHAnsi" w:cstheme="minorHAnsi"/>
          <w:sz w:val="22"/>
          <w:szCs w:val="22"/>
          <w:lang w:val="el-GR"/>
        </w:rPr>
        <w:t>(Κ.Ε</w:t>
      </w:r>
      <w:r w:rsidRPr="00121A24">
        <w:rPr>
          <w:rFonts w:asciiTheme="minorHAnsi" w:hAnsiTheme="minorHAnsi" w:cstheme="minorHAnsi"/>
          <w:sz w:val="22"/>
          <w:szCs w:val="22"/>
          <w:lang w:val="el-GR"/>
        </w:rPr>
        <w:t>.(2023) – Κ.Ε.(2022)) / Κ.Ε.(2022)]</w:t>
      </w:r>
      <w:r w:rsidRPr="006937D9">
        <w:rPr>
          <w:rFonts w:asciiTheme="minorHAnsi" w:hAnsiTheme="minorHAnsi" w:cstheme="minorHAnsi"/>
          <w:sz w:val="22"/>
          <w:szCs w:val="22"/>
          <w:lang w:val="el-GR"/>
        </w:rPr>
        <w:t xml:space="preserve"> </w:t>
      </w:r>
    </w:p>
    <w:p w14:paraId="43AD0E98" w14:textId="77777777" w:rsidR="001739E0" w:rsidRPr="006937D9" w:rsidRDefault="001739E0" w:rsidP="001739E0">
      <w:pPr>
        <w:spacing w:before="60" w:after="60" w:line="288" w:lineRule="auto"/>
        <w:ind w:left="284" w:hanging="284"/>
        <w:rPr>
          <w:rFonts w:asciiTheme="minorHAnsi" w:hAnsiTheme="minorHAnsi" w:cstheme="minorHAnsi"/>
          <w:sz w:val="22"/>
          <w:szCs w:val="22"/>
          <w:lang w:val="el-GR"/>
        </w:rPr>
      </w:pPr>
    </w:p>
    <w:p w14:paraId="6115C811" w14:textId="77777777" w:rsidR="001739E0" w:rsidRPr="00F52C5F" w:rsidRDefault="001739E0" w:rsidP="001739E0">
      <w:pPr>
        <w:numPr>
          <w:ilvl w:val="0"/>
          <w:numId w:val="6"/>
        </w:numPr>
        <w:spacing w:before="0" w:after="0" w:line="360" w:lineRule="auto"/>
        <w:ind w:left="567" w:hanging="283"/>
        <w:contextualSpacing/>
        <w:rPr>
          <w:rFonts w:asciiTheme="minorHAnsi" w:hAnsiTheme="minorHAnsi" w:cstheme="minorHAnsi"/>
          <w:sz w:val="22"/>
          <w:szCs w:val="22"/>
          <w:lang w:val="el-GR"/>
        </w:rPr>
      </w:pPr>
      <w:r>
        <w:rPr>
          <w:rFonts w:asciiTheme="minorHAnsi" w:hAnsiTheme="minorHAnsi" w:cstheme="minorHAnsi"/>
          <w:sz w:val="22"/>
          <w:szCs w:val="22"/>
          <w:lang w:val="el-GR"/>
        </w:rPr>
        <w:t xml:space="preserve">Στην περίπτωση που η </w:t>
      </w:r>
      <w:r w:rsidRPr="00F52C5F">
        <w:rPr>
          <w:rFonts w:asciiTheme="minorHAnsi" w:hAnsiTheme="minorHAnsi" w:cstheme="minorHAnsi"/>
          <w:sz w:val="22"/>
          <w:szCs w:val="22"/>
          <w:lang w:val="el-GR"/>
        </w:rPr>
        <w:t xml:space="preserve">τιμή του δείκτη είναι μικρότερη ή ίση με -0,2 το κριτήριο λαμβάνει βαθμό μηδέν, </w:t>
      </w:r>
      <w:r w:rsidRPr="00F52C5F">
        <w:rPr>
          <w:rFonts w:asciiTheme="minorHAnsi" w:hAnsiTheme="minorHAnsi" w:cstheme="minorHAnsi"/>
          <w:b/>
          <w:bCs/>
          <w:sz w:val="22"/>
          <w:szCs w:val="22"/>
          <w:u w:val="single"/>
          <w:lang w:val="el-GR"/>
        </w:rPr>
        <w:t>Βαθμός=0</w:t>
      </w:r>
      <w:r w:rsidRPr="00F52C5F">
        <w:rPr>
          <w:rFonts w:asciiTheme="minorHAnsi" w:hAnsiTheme="minorHAnsi" w:cstheme="minorHAnsi"/>
          <w:sz w:val="22"/>
          <w:szCs w:val="22"/>
          <w:lang w:val="el-GR"/>
        </w:rPr>
        <w:t>.</w:t>
      </w:r>
    </w:p>
    <w:p w14:paraId="1BA90EC4" w14:textId="77777777" w:rsidR="001739E0" w:rsidRPr="00F52C5F" w:rsidRDefault="001739E0" w:rsidP="001739E0">
      <w:pPr>
        <w:numPr>
          <w:ilvl w:val="0"/>
          <w:numId w:val="6"/>
        </w:numPr>
        <w:spacing w:before="0" w:after="0" w:line="360" w:lineRule="auto"/>
        <w:ind w:left="567" w:hanging="283"/>
        <w:contextualSpacing/>
        <w:rPr>
          <w:rFonts w:asciiTheme="minorHAnsi" w:hAnsiTheme="minorHAnsi" w:cstheme="minorHAnsi"/>
          <w:sz w:val="22"/>
          <w:szCs w:val="22"/>
          <w:lang w:val="el-GR"/>
        </w:rPr>
      </w:pPr>
      <w:bookmarkStart w:id="3" w:name="_Hlk195290234"/>
      <w:r w:rsidRPr="00F52C5F">
        <w:rPr>
          <w:rFonts w:asciiTheme="minorHAnsi" w:hAnsiTheme="minorHAnsi" w:cstheme="minorHAnsi"/>
          <w:sz w:val="22"/>
          <w:szCs w:val="22"/>
          <w:lang w:val="el-GR"/>
        </w:rPr>
        <w:t xml:space="preserve">Στην περίπτωση που η τιμή του δείκτη είναι ίση ή μεγαλύτερη από 0,2 το κριτήριο λαμβάνει τον μέγιστο βαθμό </w:t>
      </w:r>
      <w:r>
        <w:rPr>
          <w:rFonts w:asciiTheme="minorHAnsi" w:hAnsiTheme="minorHAnsi" w:cstheme="minorHAnsi"/>
          <w:sz w:val="22"/>
          <w:szCs w:val="22"/>
          <w:lang w:val="el-GR"/>
        </w:rPr>
        <w:t>οκτώ</w:t>
      </w:r>
      <w:r w:rsidRPr="00F52C5F">
        <w:rPr>
          <w:rFonts w:asciiTheme="minorHAnsi" w:hAnsiTheme="minorHAnsi" w:cstheme="minorHAnsi"/>
          <w:sz w:val="22"/>
          <w:szCs w:val="22"/>
          <w:lang w:val="el-GR"/>
        </w:rPr>
        <w:t xml:space="preserve">, </w:t>
      </w:r>
      <w:r w:rsidRPr="00F52C5F">
        <w:rPr>
          <w:rFonts w:asciiTheme="minorHAnsi" w:hAnsiTheme="minorHAnsi" w:cstheme="minorHAnsi"/>
          <w:b/>
          <w:bCs/>
          <w:sz w:val="22"/>
          <w:szCs w:val="22"/>
          <w:u w:val="single"/>
          <w:lang w:val="el-GR"/>
        </w:rPr>
        <w:t>Βαθμός=8</w:t>
      </w:r>
      <w:r w:rsidRPr="00F52C5F">
        <w:rPr>
          <w:rFonts w:asciiTheme="minorHAnsi" w:hAnsiTheme="minorHAnsi" w:cstheme="minorHAnsi"/>
          <w:sz w:val="22"/>
          <w:szCs w:val="22"/>
          <w:lang w:val="el-GR"/>
        </w:rPr>
        <w:t xml:space="preserve">. </w:t>
      </w:r>
    </w:p>
    <w:bookmarkEnd w:id="3"/>
    <w:p w14:paraId="3FA83FD5" w14:textId="77777777" w:rsidR="001739E0" w:rsidRPr="00F52C5F" w:rsidRDefault="001739E0" w:rsidP="001739E0">
      <w:pPr>
        <w:numPr>
          <w:ilvl w:val="0"/>
          <w:numId w:val="6"/>
        </w:numPr>
        <w:spacing w:before="0" w:after="0" w:line="360" w:lineRule="auto"/>
        <w:ind w:left="567" w:hanging="283"/>
        <w:contextualSpacing/>
        <w:rPr>
          <w:rFonts w:asciiTheme="minorHAnsi" w:hAnsiTheme="minorHAnsi" w:cstheme="minorHAnsi"/>
          <w:sz w:val="22"/>
          <w:szCs w:val="22"/>
          <w:lang w:val="el-GR"/>
        </w:rPr>
      </w:pPr>
      <w:r w:rsidRPr="00F52C5F">
        <w:rPr>
          <w:rFonts w:asciiTheme="minorHAnsi" w:hAnsiTheme="minorHAnsi" w:cstheme="minorHAnsi"/>
          <w:sz w:val="22"/>
          <w:szCs w:val="22"/>
          <w:lang w:val="el-GR"/>
        </w:rPr>
        <w:t xml:space="preserve">Στην περίπτωση που η τιμή του δείκτη είναι μεγαλύτερη από -0,2 και μικρότερη από 0,2 ο βαθμός του κριτηρίου υπολογίζεται από τον τύπο: </w:t>
      </w:r>
      <w:r w:rsidRPr="00F52C5F">
        <w:rPr>
          <w:rFonts w:asciiTheme="minorHAnsi" w:hAnsiTheme="minorHAnsi" w:cstheme="minorHAnsi"/>
          <w:b/>
          <w:bCs/>
          <w:sz w:val="22"/>
          <w:szCs w:val="22"/>
          <w:u w:val="single"/>
          <w:lang w:val="el-GR"/>
        </w:rPr>
        <w:t>Βαθμός = [((Κ.Ε.(2023)-Κ.Ε.(2022))/Κ.Ε.(2022))+0,2]*20</w:t>
      </w:r>
      <w:r w:rsidRPr="00F52C5F">
        <w:rPr>
          <w:rFonts w:asciiTheme="minorHAnsi" w:hAnsiTheme="minorHAnsi" w:cstheme="minorHAnsi"/>
          <w:sz w:val="22"/>
          <w:szCs w:val="22"/>
          <w:lang w:val="el-GR"/>
        </w:rPr>
        <w:t xml:space="preserve"> </w:t>
      </w:r>
    </w:p>
    <w:p w14:paraId="34A5A4EC" w14:textId="77777777" w:rsidR="001739E0" w:rsidRPr="00F52C5F" w:rsidRDefault="001739E0" w:rsidP="001739E0">
      <w:pPr>
        <w:numPr>
          <w:ilvl w:val="0"/>
          <w:numId w:val="6"/>
        </w:numPr>
        <w:spacing w:before="0" w:after="0" w:line="360" w:lineRule="auto"/>
        <w:ind w:left="567" w:hanging="283"/>
        <w:contextualSpacing/>
        <w:rPr>
          <w:rFonts w:asciiTheme="minorHAnsi" w:hAnsiTheme="minorHAnsi" w:cstheme="minorHAnsi"/>
          <w:sz w:val="22"/>
          <w:szCs w:val="22"/>
          <w:lang w:val="el-GR"/>
        </w:rPr>
      </w:pPr>
      <w:r w:rsidRPr="00F52C5F">
        <w:rPr>
          <w:rFonts w:asciiTheme="minorHAnsi" w:hAnsiTheme="minorHAnsi" w:cstheme="minorHAnsi"/>
          <w:sz w:val="22"/>
          <w:szCs w:val="22"/>
          <w:lang w:val="el-GR"/>
        </w:rPr>
        <w:t xml:space="preserve">Στην περίπτωση που ο Κ.Ε.(2023) είναι μηδέν ή αρνητικός αριθμός το κριτήριο λαμβάνει βαθμό μηδέν, </w:t>
      </w:r>
      <w:r w:rsidRPr="00F52C5F">
        <w:rPr>
          <w:rFonts w:asciiTheme="minorHAnsi" w:hAnsiTheme="minorHAnsi" w:cstheme="minorHAnsi"/>
          <w:b/>
          <w:bCs/>
          <w:sz w:val="22"/>
          <w:szCs w:val="22"/>
          <w:u w:val="single"/>
          <w:lang w:val="el-GR"/>
        </w:rPr>
        <w:t>Βαθμός=0</w:t>
      </w:r>
      <w:r w:rsidRPr="00F52C5F">
        <w:rPr>
          <w:rFonts w:asciiTheme="minorHAnsi" w:hAnsiTheme="minorHAnsi" w:cstheme="minorHAnsi"/>
          <w:sz w:val="22"/>
          <w:szCs w:val="22"/>
          <w:lang w:val="el-GR"/>
        </w:rPr>
        <w:t>.</w:t>
      </w:r>
    </w:p>
    <w:p w14:paraId="51B4C3B5" w14:textId="77777777" w:rsidR="001739E0" w:rsidRPr="00F52C5F" w:rsidRDefault="001739E0" w:rsidP="001739E0">
      <w:pPr>
        <w:numPr>
          <w:ilvl w:val="0"/>
          <w:numId w:val="6"/>
        </w:numPr>
        <w:spacing w:before="0" w:after="0" w:line="360" w:lineRule="auto"/>
        <w:ind w:left="567" w:hanging="283"/>
        <w:contextualSpacing/>
        <w:rPr>
          <w:rFonts w:asciiTheme="minorHAnsi" w:hAnsiTheme="minorHAnsi" w:cstheme="minorHAnsi"/>
          <w:sz w:val="22"/>
          <w:szCs w:val="22"/>
          <w:lang w:val="el-GR"/>
        </w:rPr>
      </w:pPr>
      <w:r w:rsidRPr="00F52C5F">
        <w:rPr>
          <w:rFonts w:asciiTheme="minorHAnsi" w:hAnsiTheme="minorHAnsi" w:cstheme="minorHAnsi"/>
          <w:sz w:val="22"/>
          <w:szCs w:val="22"/>
          <w:lang w:val="el-GR"/>
        </w:rPr>
        <w:t xml:space="preserve">Στην περίπτωση που ο Κ.Ε.(2022) είναι αρνητικός αριθμός το κριτήριο λαμβάνει βαθμό μηδέν, </w:t>
      </w:r>
      <w:r w:rsidRPr="00F52C5F">
        <w:rPr>
          <w:rFonts w:asciiTheme="minorHAnsi" w:hAnsiTheme="minorHAnsi" w:cstheme="minorHAnsi"/>
          <w:b/>
          <w:bCs/>
          <w:sz w:val="22"/>
          <w:szCs w:val="22"/>
          <w:u w:val="single"/>
          <w:lang w:val="el-GR"/>
        </w:rPr>
        <w:t>Βαθμός=0</w:t>
      </w:r>
      <w:r w:rsidRPr="00F52C5F">
        <w:rPr>
          <w:rFonts w:asciiTheme="minorHAnsi" w:hAnsiTheme="minorHAnsi" w:cstheme="minorHAnsi"/>
          <w:sz w:val="22"/>
          <w:szCs w:val="22"/>
          <w:lang w:val="el-GR"/>
        </w:rPr>
        <w:t>.</w:t>
      </w:r>
    </w:p>
    <w:p w14:paraId="1EC4C5A8" w14:textId="77777777" w:rsidR="001739E0" w:rsidRPr="00F52C5F" w:rsidRDefault="001739E0" w:rsidP="001739E0">
      <w:pPr>
        <w:numPr>
          <w:ilvl w:val="0"/>
          <w:numId w:val="6"/>
        </w:numPr>
        <w:spacing w:before="60" w:after="60" w:line="360" w:lineRule="auto"/>
        <w:ind w:left="567" w:hanging="283"/>
        <w:rPr>
          <w:rFonts w:asciiTheme="minorHAnsi" w:hAnsiTheme="minorHAnsi" w:cstheme="minorHAnsi"/>
          <w:sz w:val="22"/>
          <w:szCs w:val="22"/>
          <w:lang w:val="el-GR"/>
        </w:rPr>
      </w:pPr>
      <w:bookmarkStart w:id="4" w:name="_Hlk195290332"/>
      <w:r w:rsidRPr="00F52C5F">
        <w:rPr>
          <w:rFonts w:asciiTheme="minorHAnsi" w:hAnsiTheme="minorHAnsi" w:cstheme="minorHAnsi"/>
          <w:sz w:val="22"/>
          <w:szCs w:val="22"/>
          <w:lang w:val="el-GR"/>
        </w:rPr>
        <w:t xml:space="preserve">Στην περίπτωση που ο Κ.Ε.(2023) είναι θετικός αριθμός και ο Κ.Ε.(2022) είναι μηδέν τότε το κριτήριο λαμβάνει τον μέγιστο βαθμό </w:t>
      </w:r>
      <w:r>
        <w:rPr>
          <w:rFonts w:asciiTheme="minorHAnsi" w:hAnsiTheme="minorHAnsi" w:cstheme="minorHAnsi"/>
          <w:sz w:val="22"/>
          <w:szCs w:val="22"/>
          <w:lang w:val="el-GR"/>
        </w:rPr>
        <w:t>οκτώ</w:t>
      </w:r>
      <w:r w:rsidRPr="00F52C5F">
        <w:rPr>
          <w:rFonts w:asciiTheme="minorHAnsi" w:hAnsiTheme="minorHAnsi" w:cstheme="minorHAnsi"/>
          <w:sz w:val="22"/>
          <w:szCs w:val="22"/>
          <w:lang w:val="el-GR"/>
        </w:rPr>
        <w:t xml:space="preserve">, </w:t>
      </w:r>
      <w:r w:rsidRPr="00F52C5F">
        <w:rPr>
          <w:rFonts w:asciiTheme="minorHAnsi" w:hAnsiTheme="minorHAnsi" w:cstheme="minorHAnsi"/>
          <w:b/>
          <w:bCs/>
          <w:sz w:val="22"/>
          <w:szCs w:val="22"/>
          <w:u w:val="single"/>
          <w:lang w:val="el-GR"/>
        </w:rPr>
        <w:t>Βαθμός=8</w:t>
      </w:r>
      <w:r w:rsidRPr="00F52C5F">
        <w:rPr>
          <w:rFonts w:asciiTheme="minorHAnsi" w:hAnsiTheme="minorHAnsi" w:cstheme="minorHAnsi"/>
          <w:sz w:val="22"/>
          <w:szCs w:val="22"/>
          <w:lang w:val="el-GR"/>
        </w:rPr>
        <w:t>.</w:t>
      </w:r>
    </w:p>
    <w:p w14:paraId="7DDF7BC5" w14:textId="77777777" w:rsidR="001739E0" w:rsidRPr="006937D9" w:rsidRDefault="001739E0" w:rsidP="001739E0">
      <w:pPr>
        <w:spacing w:before="60" w:after="60" w:line="288" w:lineRule="auto"/>
        <w:rPr>
          <w:rFonts w:asciiTheme="minorHAnsi" w:hAnsiTheme="minorHAnsi" w:cstheme="minorHAnsi"/>
          <w:b/>
          <w:bCs/>
          <w:sz w:val="22"/>
          <w:szCs w:val="22"/>
          <w:u w:val="single"/>
          <w:lang w:val="el-GR"/>
        </w:rPr>
      </w:pPr>
      <w:bookmarkStart w:id="5" w:name="_Hlk195290393"/>
      <w:bookmarkEnd w:id="4"/>
      <w:r w:rsidRPr="006937D9">
        <w:rPr>
          <w:rFonts w:asciiTheme="minorHAnsi" w:hAnsiTheme="minorHAnsi" w:cstheme="minorHAnsi"/>
          <w:b/>
          <w:bCs/>
          <w:sz w:val="22"/>
          <w:szCs w:val="22"/>
          <w:u w:val="single"/>
          <w:lang w:val="el-GR"/>
        </w:rPr>
        <w:t>Κριτήριο 3: Λειτουργική Κερδοφορία Επιχείρησης - Κέρδη προ τόκων, φόρων και αποσβέσεων (ΚΠΤΦΑ) σε σχέση με Κύκλο Εργασιών</w:t>
      </w:r>
      <w:r w:rsidRPr="006937D9">
        <w:rPr>
          <w:u w:val="single"/>
          <w:lang w:val="el-GR"/>
        </w:rPr>
        <w:t xml:space="preserve"> </w:t>
      </w:r>
      <w:r w:rsidRPr="006937D9">
        <w:rPr>
          <w:rFonts w:asciiTheme="minorHAnsi" w:hAnsiTheme="minorHAnsi" w:cstheme="minorHAnsi"/>
          <w:b/>
          <w:bCs/>
          <w:sz w:val="22"/>
          <w:szCs w:val="22"/>
          <w:u w:val="single"/>
          <w:lang w:val="el-GR"/>
        </w:rPr>
        <w:t>κατά την τελευταία 2ετία</w:t>
      </w:r>
      <w:bookmarkEnd w:id="5"/>
    </w:p>
    <w:p w14:paraId="019C282F" w14:textId="77777777" w:rsidR="001739E0" w:rsidRPr="006937D9" w:rsidRDefault="001739E0" w:rsidP="001739E0">
      <w:pPr>
        <w:spacing w:before="60" w:after="60" w:line="288"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Το κριτήριο 3 υπολογίζει το ποσοστό αποτελεσμάτων προ φόρων τόκων και αποσβέσεων (κωδικός 524 του Ε3) ως προς τον κύκλο εργασιών της επιχείρησης (κωδικός 500 του Ε3). </w:t>
      </w:r>
    </w:p>
    <w:p w14:paraId="5EBE510A" w14:textId="77777777" w:rsidR="001739E0" w:rsidRPr="00F52C5F" w:rsidRDefault="001739E0" w:rsidP="001739E0">
      <w:pPr>
        <w:spacing w:before="60" w:after="60" w:line="288" w:lineRule="auto"/>
        <w:ind w:left="284" w:hanging="284"/>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Ο δείκτης υπολογίζεται ως εξής: Μ.Ο. ΚΠΤΦΑ προς Κ.Ε. </w:t>
      </w:r>
      <w:r w:rsidRPr="00F52C5F">
        <w:rPr>
          <w:rFonts w:asciiTheme="minorHAnsi" w:hAnsiTheme="minorHAnsi" w:cstheme="minorHAnsi"/>
          <w:sz w:val="22"/>
          <w:szCs w:val="22"/>
          <w:lang w:val="el-GR"/>
        </w:rPr>
        <w:t>κατά την 2ετία (2022 ~ 2023) =</w:t>
      </w:r>
    </w:p>
    <w:p w14:paraId="4637CECA" w14:textId="77777777" w:rsidR="001739E0" w:rsidRPr="006937D9" w:rsidRDefault="001739E0" w:rsidP="001739E0">
      <w:pPr>
        <w:spacing w:before="60" w:after="60" w:line="288" w:lineRule="auto"/>
        <w:ind w:left="284" w:hanging="284"/>
        <w:rPr>
          <w:rFonts w:asciiTheme="minorHAnsi" w:hAnsiTheme="minorHAnsi" w:cstheme="minorHAnsi"/>
          <w:b/>
          <w:bCs/>
          <w:sz w:val="22"/>
          <w:szCs w:val="22"/>
          <w:lang w:val="el-GR"/>
        </w:rPr>
      </w:pPr>
      <w:r w:rsidRPr="00F52C5F">
        <w:rPr>
          <w:rFonts w:asciiTheme="minorHAnsi" w:hAnsiTheme="minorHAnsi" w:cstheme="minorHAnsi"/>
          <w:b/>
          <w:bCs/>
          <w:sz w:val="22"/>
          <w:szCs w:val="22"/>
          <w:lang w:val="el-GR"/>
        </w:rPr>
        <w:t>((ΚΠΤΦΑ(2023) / Κ.Ε.(2023)) + (ΚΠΤΦΑ(2022) / Κ.Ε.(2022)))/2</w:t>
      </w:r>
    </w:p>
    <w:p w14:paraId="6604FEBC" w14:textId="77777777" w:rsidR="001739E0" w:rsidRPr="006937D9" w:rsidRDefault="001739E0" w:rsidP="001739E0">
      <w:pPr>
        <w:spacing w:before="60" w:after="60" w:line="288" w:lineRule="auto"/>
        <w:ind w:left="284" w:hanging="284"/>
        <w:rPr>
          <w:rFonts w:asciiTheme="minorHAnsi" w:hAnsiTheme="minorHAnsi" w:cstheme="minorHAnsi"/>
          <w:sz w:val="22"/>
          <w:szCs w:val="22"/>
          <w:lang w:val="el-GR"/>
        </w:rPr>
      </w:pPr>
    </w:p>
    <w:p w14:paraId="68AD6CF4" w14:textId="77777777" w:rsidR="001739E0" w:rsidRPr="009406E1" w:rsidRDefault="001739E0" w:rsidP="001739E0">
      <w:pPr>
        <w:pStyle w:val="ListParagraph"/>
        <w:numPr>
          <w:ilvl w:val="0"/>
          <w:numId w:val="7"/>
        </w:numPr>
        <w:spacing w:before="60" w:after="60" w:line="360" w:lineRule="auto"/>
        <w:ind w:left="426" w:hanging="284"/>
        <w:rPr>
          <w:rFonts w:asciiTheme="minorHAnsi" w:hAnsiTheme="minorHAnsi" w:cstheme="minorHAnsi"/>
          <w:sz w:val="22"/>
          <w:szCs w:val="22"/>
          <w:lang w:val="el-GR"/>
        </w:rPr>
      </w:pPr>
      <w:r w:rsidRPr="009406E1">
        <w:rPr>
          <w:rFonts w:asciiTheme="minorHAnsi" w:hAnsiTheme="minorHAnsi" w:cstheme="minorHAnsi"/>
          <w:sz w:val="22"/>
          <w:szCs w:val="22"/>
          <w:lang w:val="el-GR"/>
        </w:rPr>
        <w:t xml:space="preserve">Στην περίπτωση που η τιμή του δείκτη είναι μικρότερη ή ίση από 0, το κριτήριο λαμβάνει βαθμό μηδέν, </w:t>
      </w:r>
      <w:r w:rsidRPr="009406E1">
        <w:rPr>
          <w:rFonts w:asciiTheme="minorHAnsi" w:hAnsiTheme="minorHAnsi" w:cstheme="minorHAnsi"/>
          <w:b/>
          <w:bCs/>
          <w:sz w:val="22"/>
          <w:szCs w:val="22"/>
          <w:u w:val="single"/>
          <w:lang w:val="el-GR"/>
        </w:rPr>
        <w:t>Βαθμός=0</w:t>
      </w:r>
      <w:r w:rsidRPr="009406E1">
        <w:rPr>
          <w:rFonts w:asciiTheme="minorHAnsi" w:hAnsiTheme="minorHAnsi" w:cstheme="minorHAnsi"/>
          <w:sz w:val="22"/>
          <w:szCs w:val="22"/>
          <w:lang w:val="el-GR"/>
        </w:rPr>
        <w:t xml:space="preserve">. </w:t>
      </w:r>
    </w:p>
    <w:p w14:paraId="6039B3BE" w14:textId="77777777" w:rsidR="001739E0" w:rsidRPr="00F52C5F" w:rsidRDefault="001739E0" w:rsidP="001739E0">
      <w:pPr>
        <w:pStyle w:val="ListParagraph"/>
        <w:numPr>
          <w:ilvl w:val="0"/>
          <w:numId w:val="7"/>
        </w:numPr>
        <w:spacing w:before="60" w:after="60" w:line="360" w:lineRule="auto"/>
        <w:ind w:left="426" w:hanging="284"/>
        <w:rPr>
          <w:rFonts w:asciiTheme="minorHAnsi" w:hAnsiTheme="minorHAnsi" w:cstheme="minorHAnsi"/>
          <w:sz w:val="22"/>
          <w:szCs w:val="22"/>
          <w:lang w:val="el-GR"/>
        </w:rPr>
      </w:pPr>
      <w:bookmarkStart w:id="6" w:name="_Hlk195290406"/>
      <w:r w:rsidRPr="009406E1">
        <w:rPr>
          <w:rFonts w:asciiTheme="minorHAnsi" w:hAnsiTheme="minorHAnsi" w:cstheme="minorHAnsi"/>
          <w:sz w:val="22"/>
          <w:szCs w:val="22"/>
          <w:lang w:val="el-GR"/>
        </w:rPr>
        <w:lastRenderedPageBreak/>
        <w:t xml:space="preserve">Στην περίπτωση που η τιμή του δείκτη είναι μεγαλύτερη από 0,2 το κριτήριο λαμβάνει τον μέγιστο βαθμό </w:t>
      </w:r>
      <w:r>
        <w:rPr>
          <w:rFonts w:asciiTheme="minorHAnsi" w:hAnsiTheme="minorHAnsi" w:cstheme="minorHAnsi"/>
          <w:sz w:val="22"/>
          <w:szCs w:val="22"/>
          <w:lang w:val="el-GR"/>
        </w:rPr>
        <w:t>οκτώ</w:t>
      </w:r>
      <w:r w:rsidRPr="009406E1">
        <w:rPr>
          <w:rFonts w:asciiTheme="minorHAnsi" w:hAnsiTheme="minorHAnsi" w:cstheme="minorHAnsi"/>
          <w:sz w:val="22"/>
          <w:szCs w:val="22"/>
          <w:lang w:val="el-GR"/>
        </w:rPr>
        <w:t xml:space="preserve">, </w:t>
      </w:r>
      <w:r w:rsidRPr="00F52C5F">
        <w:rPr>
          <w:rFonts w:asciiTheme="minorHAnsi" w:hAnsiTheme="minorHAnsi" w:cstheme="minorHAnsi"/>
          <w:b/>
          <w:bCs/>
          <w:sz w:val="22"/>
          <w:szCs w:val="22"/>
          <w:u w:val="single"/>
          <w:lang w:val="el-GR"/>
        </w:rPr>
        <w:t>Βαθμός=8</w:t>
      </w:r>
      <w:r w:rsidRPr="00F52C5F">
        <w:rPr>
          <w:rFonts w:asciiTheme="minorHAnsi" w:hAnsiTheme="minorHAnsi" w:cstheme="minorHAnsi"/>
          <w:sz w:val="22"/>
          <w:szCs w:val="22"/>
          <w:lang w:val="el-GR"/>
        </w:rPr>
        <w:t xml:space="preserve">. </w:t>
      </w:r>
    </w:p>
    <w:bookmarkEnd w:id="6"/>
    <w:p w14:paraId="20B15778" w14:textId="77777777" w:rsidR="001739E0" w:rsidRDefault="001739E0" w:rsidP="001739E0">
      <w:pPr>
        <w:pStyle w:val="ListParagraph"/>
        <w:numPr>
          <w:ilvl w:val="0"/>
          <w:numId w:val="7"/>
        </w:numPr>
        <w:spacing w:before="60" w:after="60" w:line="360" w:lineRule="auto"/>
        <w:ind w:left="426" w:hanging="284"/>
        <w:rPr>
          <w:rFonts w:asciiTheme="minorHAnsi" w:hAnsiTheme="minorHAnsi" w:cstheme="minorHAnsi"/>
          <w:sz w:val="22"/>
          <w:szCs w:val="22"/>
          <w:lang w:val="el-GR"/>
        </w:rPr>
      </w:pPr>
      <w:r w:rsidRPr="00F52C5F">
        <w:rPr>
          <w:rFonts w:asciiTheme="minorHAnsi" w:hAnsiTheme="minorHAnsi" w:cstheme="minorHAnsi"/>
          <w:sz w:val="22"/>
          <w:szCs w:val="22"/>
          <w:lang w:val="el-GR"/>
        </w:rPr>
        <w:t>Στην περίπτωση που η τιμή του δείκτη είναι μεγαλύτερη από 0 και μικρότερη</w:t>
      </w:r>
      <w:r w:rsidRPr="00F52C5F">
        <w:rPr>
          <w:lang w:val="el-GR"/>
        </w:rPr>
        <w:t xml:space="preserve"> </w:t>
      </w:r>
      <w:r w:rsidRPr="00F52C5F">
        <w:rPr>
          <w:rFonts w:asciiTheme="minorHAnsi" w:hAnsiTheme="minorHAnsi" w:cstheme="minorHAnsi"/>
          <w:sz w:val="22"/>
          <w:szCs w:val="22"/>
          <w:lang w:val="el-GR"/>
        </w:rPr>
        <w:t>ή ίση με 0,2 ο βαθμός υπολογίζεται από τον τύπο:</w:t>
      </w:r>
    </w:p>
    <w:p w14:paraId="4E754918" w14:textId="77777777" w:rsidR="001739E0" w:rsidRPr="00F52C5F" w:rsidRDefault="001739E0" w:rsidP="001739E0">
      <w:pPr>
        <w:pStyle w:val="ListParagraph"/>
        <w:spacing w:before="60" w:after="60" w:line="360" w:lineRule="auto"/>
        <w:ind w:left="426"/>
        <w:rPr>
          <w:rFonts w:asciiTheme="minorHAnsi" w:hAnsiTheme="minorHAnsi" w:cstheme="minorHAnsi"/>
          <w:sz w:val="22"/>
          <w:szCs w:val="22"/>
          <w:lang w:val="el-GR"/>
        </w:rPr>
      </w:pPr>
      <w:r w:rsidRPr="00F52C5F">
        <w:rPr>
          <w:rFonts w:asciiTheme="minorHAnsi" w:hAnsiTheme="minorHAnsi" w:cstheme="minorHAnsi"/>
          <w:sz w:val="22"/>
          <w:szCs w:val="22"/>
          <w:lang w:val="el-GR"/>
        </w:rPr>
        <w:t xml:space="preserve"> </w:t>
      </w:r>
      <w:r w:rsidRPr="00F52C5F">
        <w:rPr>
          <w:rFonts w:asciiTheme="minorHAnsi" w:hAnsiTheme="minorHAnsi" w:cstheme="minorHAnsi"/>
          <w:b/>
          <w:bCs/>
          <w:sz w:val="22"/>
          <w:szCs w:val="22"/>
          <w:u w:val="single"/>
          <w:lang w:val="el-GR"/>
        </w:rPr>
        <w:t>Βαθμός=(((ΚΠΤΦΑ(2023)/ΚΕ(2023))+(ΚΠΤΦΑ(2022)/ΚΕ(2022)))/2 )*40</w:t>
      </w:r>
      <w:r w:rsidRPr="00F52C5F">
        <w:rPr>
          <w:rFonts w:asciiTheme="minorHAnsi" w:hAnsiTheme="minorHAnsi" w:cstheme="minorHAnsi"/>
          <w:sz w:val="22"/>
          <w:szCs w:val="22"/>
          <w:lang w:val="el-GR"/>
        </w:rPr>
        <w:t xml:space="preserve"> </w:t>
      </w:r>
    </w:p>
    <w:p w14:paraId="048207E5" w14:textId="77777777" w:rsidR="001739E0" w:rsidRPr="00F52C5F" w:rsidRDefault="001739E0" w:rsidP="001739E0">
      <w:pPr>
        <w:pStyle w:val="ListParagraph"/>
        <w:numPr>
          <w:ilvl w:val="0"/>
          <w:numId w:val="7"/>
        </w:numPr>
        <w:spacing w:before="60" w:after="60" w:line="360" w:lineRule="auto"/>
        <w:ind w:left="426" w:hanging="284"/>
        <w:contextualSpacing w:val="0"/>
        <w:rPr>
          <w:rFonts w:asciiTheme="minorHAnsi" w:hAnsiTheme="minorHAnsi" w:cstheme="minorHAnsi"/>
          <w:sz w:val="22"/>
          <w:szCs w:val="22"/>
          <w:lang w:val="el-GR"/>
        </w:rPr>
      </w:pPr>
      <w:r w:rsidRPr="00F52C5F">
        <w:rPr>
          <w:rFonts w:asciiTheme="minorHAnsi" w:hAnsiTheme="minorHAnsi" w:cstheme="minorHAnsi"/>
          <w:sz w:val="22"/>
          <w:szCs w:val="22"/>
          <w:lang w:val="el-GR"/>
        </w:rPr>
        <w:t xml:space="preserve">Στην περίπτωση που ο Κ.Ε.(2022) ή/και Κ.Ε.(2023) είναι μηδέν ή αρνητικός αριθμός το κριτήριο λαμβάνει βαθμό μηδέν, </w:t>
      </w:r>
      <w:r w:rsidRPr="00F52C5F">
        <w:rPr>
          <w:rFonts w:asciiTheme="minorHAnsi" w:hAnsiTheme="minorHAnsi" w:cstheme="minorHAnsi"/>
          <w:b/>
          <w:bCs/>
          <w:sz w:val="22"/>
          <w:szCs w:val="22"/>
          <w:u w:val="single"/>
          <w:lang w:val="el-GR"/>
        </w:rPr>
        <w:t>Βαθμός=0.</w:t>
      </w:r>
    </w:p>
    <w:p w14:paraId="0B759E6E" w14:textId="77777777" w:rsidR="001739E0" w:rsidRPr="006937D9" w:rsidRDefault="001739E0" w:rsidP="001739E0">
      <w:pPr>
        <w:spacing w:before="60" w:after="60" w:line="360" w:lineRule="auto"/>
        <w:rPr>
          <w:rFonts w:asciiTheme="minorHAnsi" w:hAnsiTheme="minorHAnsi" w:cstheme="minorHAnsi"/>
          <w:sz w:val="22"/>
          <w:szCs w:val="22"/>
          <w:lang w:val="el-GR"/>
        </w:rPr>
      </w:pPr>
    </w:p>
    <w:p w14:paraId="3A4BAB51" w14:textId="77777777" w:rsidR="001739E0" w:rsidRPr="006937D9" w:rsidRDefault="001739E0" w:rsidP="001739E0">
      <w:pPr>
        <w:spacing w:before="60" w:after="60" w:line="288" w:lineRule="auto"/>
        <w:ind w:left="-6"/>
        <w:rPr>
          <w:rFonts w:asciiTheme="minorHAnsi" w:hAnsiTheme="minorHAnsi" w:cstheme="minorHAnsi"/>
          <w:b/>
          <w:bCs/>
          <w:sz w:val="22"/>
          <w:szCs w:val="22"/>
          <w:u w:val="single"/>
          <w:lang w:val="el-GR"/>
        </w:rPr>
      </w:pPr>
      <w:bookmarkStart w:id="7" w:name="_Hlk144453612"/>
      <w:r w:rsidRPr="006937D9">
        <w:rPr>
          <w:rFonts w:asciiTheme="minorHAnsi" w:hAnsiTheme="minorHAnsi" w:cstheme="minorHAnsi"/>
          <w:b/>
          <w:bCs/>
          <w:sz w:val="22"/>
          <w:szCs w:val="22"/>
          <w:u w:val="single"/>
          <w:lang w:val="el-GR"/>
        </w:rPr>
        <w:t>Κριτήριο 4: Συνάφεια Επενδυτικού Σχεδίου της Επιχείρησης με την Εθνική Στρατηγική Έξυπνης Εξειδίκευσης 2021- 2027</w:t>
      </w:r>
    </w:p>
    <w:p w14:paraId="03F8159A" w14:textId="77777777" w:rsidR="001739E0" w:rsidRPr="006937D9" w:rsidRDefault="001739E0" w:rsidP="001739E0">
      <w:pPr>
        <w:spacing w:before="60" w:after="60" w:line="288" w:lineRule="auto"/>
        <w:ind w:left="-6"/>
        <w:rPr>
          <w:rFonts w:asciiTheme="minorHAnsi" w:hAnsiTheme="minorHAnsi" w:cstheme="minorHAnsi"/>
          <w:sz w:val="22"/>
          <w:szCs w:val="22"/>
          <w:lang w:val="el-GR"/>
        </w:rPr>
      </w:pPr>
      <w:r w:rsidRPr="006937D9">
        <w:rPr>
          <w:rFonts w:asciiTheme="minorHAnsi" w:hAnsiTheme="minorHAnsi" w:cstheme="minorHAnsi"/>
          <w:sz w:val="22"/>
          <w:szCs w:val="22"/>
          <w:lang w:val="el-GR"/>
        </w:rPr>
        <w:t>Στο κριτήριο 4 αξιολογείται η συνάφεια του επενδυτικού σχεδίου με ΚΑΔ των τομέων</w:t>
      </w:r>
      <w:r w:rsidRPr="006937D9">
        <w:rPr>
          <w:rFonts w:asciiTheme="minorHAnsi" w:hAnsiTheme="minorHAnsi" w:cstheme="minorHAnsi"/>
          <w:bCs/>
          <w:sz w:val="22"/>
          <w:szCs w:val="22"/>
          <w:lang w:val="el-GR"/>
        </w:rPr>
        <w:t xml:space="preserve"> προτεραιότητας της Εθνικής Στρατηγικής Έξυπνης Εξειδίκευσης 2021- 2027</w:t>
      </w:r>
      <w:r w:rsidRPr="006937D9">
        <w:rPr>
          <w:rFonts w:asciiTheme="minorHAnsi" w:hAnsiTheme="minorHAnsi" w:cstheme="minorHAnsi"/>
          <w:sz w:val="22"/>
          <w:szCs w:val="22"/>
          <w:lang w:val="el-GR"/>
        </w:rPr>
        <w:t>.</w:t>
      </w:r>
    </w:p>
    <w:p w14:paraId="5F6159E2" w14:textId="77777777" w:rsidR="001739E0" w:rsidRPr="00F52C5F" w:rsidRDefault="001739E0" w:rsidP="001739E0">
      <w:pPr>
        <w:numPr>
          <w:ilvl w:val="0"/>
          <w:numId w:val="3"/>
        </w:numPr>
        <w:spacing w:before="60" w:after="60" w:line="360" w:lineRule="auto"/>
        <w:ind w:left="426" w:hanging="360"/>
        <w:contextualSpacing/>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Στην περίπτωση που το επενδυτικό σχέδιο αφορά δραστηριότητα(ες) των τομέων προτεραιότητας της </w:t>
      </w:r>
      <w:r w:rsidRPr="00F52C5F">
        <w:rPr>
          <w:rFonts w:asciiTheme="minorHAnsi" w:hAnsiTheme="minorHAnsi" w:cstheme="minorHAnsi"/>
          <w:sz w:val="22"/>
          <w:szCs w:val="22"/>
          <w:lang w:val="el-GR"/>
        </w:rPr>
        <w:t xml:space="preserve">Εθνικής Στρατηγικής Έξυπνης Εξειδίκευσης, το κριτήριο λαμβάνει τον μέγιστο βαθμό, </w:t>
      </w:r>
      <w:r w:rsidRPr="00F52C5F">
        <w:rPr>
          <w:rFonts w:asciiTheme="minorHAnsi" w:hAnsiTheme="minorHAnsi" w:cstheme="minorHAnsi"/>
          <w:b/>
          <w:bCs/>
          <w:sz w:val="22"/>
          <w:szCs w:val="22"/>
          <w:u w:val="single"/>
          <w:lang w:val="el-GR"/>
        </w:rPr>
        <w:t>Βαθμός=8</w:t>
      </w:r>
      <w:r w:rsidRPr="00F52C5F">
        <w:rPr>
          <w:rFonts w:asciiTheme="minorHAnsi" w:hAnsiTheme="minorHAnsi" w:cstheme="minorHAnsi"/>
          <w:sz w:val="22"/>
          <w:szCs w:val="22"/>
          <w:lang w:val="el-GR"/>
        </w:rPr>
        <w:t>.</w:t>
      </w:r>
    </w:p>
    <w:p w14:paraId="34C221FF" w14:textId="77777777" w:rsidR="001739E0" w:rsidRPr="006937D9" w:rsidRDefault="001739E0" w:rsidP="001739E0">
      <w:pPr>
        <w:numPr>
          <w:ilvl w:val="0"/>
          <w:numId w:val="3"/>
        </w:numPr>
        <w:spacing w:before="60" w:after="60" w:line="360" w:lineRule="auto"/>
        <w:ind w:left="425" w:hanging="360"/>
        <w:rPr>
          <w:rFonts w:asciiTheme="minorHAnsi" w:hAnsiTheme="minorHAnsi" w:cstheme="minorHAnsi"/>
          <w:sz w:val="22"/>
          <w:szCs w:val="22"/>
          <w:lang w:val="el-GR"/>
        </w:rPr>
      </w:pPr>
      <w:r w:rsidRPr="00F52C5F">
        <w:rPr>
          <w:rFonts w:asciiTheme="minorHAnsi" w:hAnsiTheme="minorHAnsi" w:cstheme="minorHAnsi"/>
          <w:sz w:val="22"/>
          <w:szCs w:val="22"/>
          <w:lang w:val="el-GR"/>
        </w:rPr>
        <w:t>Στην περίπτωση που το επενδυτικό</w:t>
      </w:r>
      <w:r w:rsidRPr="006937D9">
        <w:rPr>
          <w:rFonts w:asciiTheme="minorHAnsi" w:hAnsiTheme="minorHAnsi" w:cstheme="minorHAnsi"/>
          <w:sz w:val="22"/>
          <w:szCs w:val="22"/>
          <w:lang w:val="el-GR"/>
        </w:rPr>
        <w:t xml:space="preserve"> σχέδιο </w:t>
      </w:r>
      <w:r w:rsidRPr="006937D9">
        <w:rPr>
          <w:rFonts w:asciiTheme="minorHAnsi" w:hAnsiTheme="minorHAnsi" w:cstheme="minorHAnsi"/>
          <w:sz w:val="22"/>
          <w:szCs w:val="22"/>
          <w:u w:val="single"/>
          <w:lang w:val="el-GR"/>
        </w:rPr>
        <w:t>δεν</w:t>
      </w:r>
      <w:r w:rsidRPr="006937D9">
        <w:rPr>
          <w:rFonts w:asciiTheme="minorHAnsi" w:hAnsiTheme="minorHAnsi" w:cstheme="minorHAnsi"/>
          <w:sz w:val="22"/>
          <w:szCs w:val="22"/>
          <w:lang w:val="el-GR"/>
        </w:rPr>
        <w:t xml:space="preserve"> σχετίζεται με δραστηριότητες των τομέων</w:t>
      </w:r>
      <w:r w:rsidRPr="006937D9">
        <w:rPr>
          <w:rFonts w:asciiTheme="minorHAnsi" w:hAnsiTheme="minorHAnsi" w:cstheme="minorHAnsi"/>
          <w:bCs/>
          <w:sz w:val="22"/>
          <w:szCs w:val="22"/>
          <w:lang w:val="el-GR"/>
        </w:rPr>
        <w:t xml:space="preserve"> προτεραιότητας της Εθνικής Στρατηγικής Έξυπνης Εξειδίκευσης,</w:t>
      </w:r>
      <w:r w:rsidRPr="006937D9">
        <w:rPr>
          <w:rFonts w:asciiTheme="minorHAnsi" w:hAnsiTheme="minorHAnsi" w:cstheme="minorHAnsi"/>
          <w:sz w:val="22"/>
          <w:szCs w:val="22"/>
          <w:lang w:val="el-GR"/>
        </w:rPr>
        <w:t xml:space="preserve"> τίθεται ο ελάχιστος βαθμός</w:t>
      </w:r>
      <w:r>
        <w:rPr>
          <w:rFonts w:asciiTheme="minorHAnsi" w:hAnsiTheme="minorHAnsi" w:cstheme="minorHAnsi"/>
          <w:sz w:val="22"/>
          <w:szCs w:val="22"/>
          <w:lang w:val="el-GR"/>
        </w:rPr>
        <w:t>,</w:t>
      </w:r>
      <w:r w:rsidRPr="006937D9">
        <w:rPr>
          <w:rFonts w:asciiTheme="minorHAnsi" w:hAnsiTheme="minorHAnsi" w:cstheme="minorHAnsi"/>
          <w:sz w:val="22"/>
          <w:szCs w:val="22"/>
          <w:lang w:val="el-GR"/>
        </w:rPr>
        <w:t xml:space="preserve"> </w:t>
      </w:r>
      <w:r w:rsidRPr="006937D9">
        <w:rPr>
          <w:rFonts w:asciiTheme="minorHAnsi" w:hAnsiTheme="minorHAnsi" w:cstheme="minorHAnsi"/>
          <w:b/>
          <w:bCs/>
          <w:sz w:val="22"/>
          <w:szCs w:val="22"/>
          <w:u w:val="single"/>
          <w:lang w:val="el-GR"/>
        </w:rPr>
        <w:t>Βαθμός=0</w:t>
      </w:r>
      <w:r w:rsidRPr="006937D9">
        <w:rPr>
          <w:rFonts w:asciiTheme="minorHAnsi" w:hAnsiTheme="minorHAnsi" w:cstheme="minorHAnsi"/>
          <w:sz w:val="22"/>
          <w:szCs w:val="22"/>
          <w:lang w:val="el-GR"/>
        </w:rPr>
        <w:t>.</w:t>
      </w:r>
      <w:bookmarkEnd w:id="7"/>
    </w:p>
    <w:p w14:paraId="169F06E3" w14:textId="77777777" w:rsidR="001739E0" w:rsidRPr="006937D9" w:rsidRDefault="001739E0" w:rsidP="001739E0">
      <w:pPr>
        <w:spacing w:before="60" w:after="60" w:line="288" w:lineRule="auto"/>
        <w:ind w:left="425"/>
        <w:rPr>
          <w:rFonts w:asciiTheme="minorHAnsi" w:hAnsiTheme="minorHAnsi" w:cstheme="minorHAnsi"/>
          <w:sz w:val="4"/>
          <w:szCs w:val="4"/>
          <w:lang w:val="el-GR"/>
        </w:rPr>
      </w:pPr>
    </w:p>
    <w:p w14:paraId="6DD7DE5F" w14:textId="77777777" w:rsidR="001739E0" w:rsidRPr="006937D9" w:rsidRDefault="001739E0" w:rsidP="001739E0">
      <w:pPr>
        <w:spacing w:before="60" w:after="60" w:line="288" w:lineRule="auto"/>
        <w:ind w:left="-6"/>
        <w:rPr>
          <w:rFonts w:asciiTheme="minorHAnsi" w:hAnsiTheme="minorHAnsi" w:cstheme="minorHAnsi"/>
          <w:b/>
          <w:bCs/>
          <w:sz w:val="22"/>
          <w:szCs w:val="22"/>
          <w:u w:val="single"/>
          <w:lang w:val="el-GR"/>
        </w:rPr>
      </w:pPr>
      <w:bookmarkStart w:id="8" w:name="_Hlk191308410"/>
      <w:r w:rsidRPr="006937D9">
        <w:rPr>
          <w:rFonts w:asciiTheme="minorHAnsi" w:hAnsiTheme="minorHAnsi" w:cstheme="minorHAnsi"/>
          <w:b/>
          <w:bCs/>
          <w:sz w:val="22"/>
          <w:szCs w:val="22"/>
          <w:u w:val="single"/>
          <w:lang w:val="el-GR"/>
        </w:rPr>
        <w:t>Κριτήριο 5: Αριθμός Εργαζομένων της Επιχείρησης  (ΕΜΕ Μισθωτής Εργασίας)</w:t>
      </w:r>
    </w:p>
    <w:p w14:paraId="0D7ACD4A" w14:textId="77777777" w:rsidR="001739E0" w:rsidRPr="006937D9" w:rsidRDefault="001739E0" w:rsidP="001739E0">
      <w:pPr>
        <w:spacing w:before="60" w:after="60" w:line="36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Στο κριτήριο 5 αξιολογείται/</w:t>
      </w:r>
      <w:r w:rsidRPr="00F52C5F">
        <w:rPr>
          <w:rFonts w:asciiTheme="minorHAnsi" w:hAnsiTheme="minorHAnsi" w:cstheme="minorHAnsi"/>
          <w:sz w:val="22"/>
          <w:szCs w:val="22"/>
          <w:lang w:val="el-GR"/>
        </w:rPr>
        <w:t xml:space="preserve">βαθμολογείται η απασχόληση εργαζομένων της επιχείρησης. Κάθε ετήσια μονάδα εργασίας βαθμολογείται με </w:t>
      </w:r>
      <w:r w:rsidRPr="00F52C5F">
        <w:rPr>
          <w:rFonts w:asciiTheme="minorHAnsi" w:hAnsiTheme="minorHAnsi"/>
          <w:sz w:val="22"/>
          <w:lang w:val="el-GR"/>
        </w:rPr>
        <w:t>2</w:t>
      </w:r>
      <w:r w:rsidRPr="00F52C5F">
        <w:rPr>
          <w:rFonts w:asciiTheme="minorHAnsi" w:hAnsiTheme="minorHAnsi" w:cstheme="minorHAnsi"/>
          <w:sz w:val="22"/>
          <w:szCs w:val="22"/>
          <w:lang w:val="el-GR"/>
        </w:rPr>
        <w:t xml:space="preserve"> μονάδες</w:t>
      </w:r>
      <w:r w:rsidRPr="006937D9">
        <w:rPr>
          <w:rFonts w:asciiTheme="minorHAnsi" w:hAnsiTheme="minorHAnsi" w:cstheme="minorHAnsi"/>
          <w:sz w:val="22"/>
          <w:szCs w:val="22"/>
          <w:lang w:val="el-GR"/>
        </w:rPr>
        <w:t xml:space="preserve">. Κλάσματα Ε.Μ.Ε. βαθμολογούνται ανάλογα.  </w:t>
      </w:r>
    </w:p>
    <w:p w14:paraId="3B223D37" w14:textId="77777777" w:rsidR="001739E0" w:rsidRPr="00F52C5F" w:rsidRDefault="001739E0" w:rsidP="001739E0">
      <w:pPr>
        <w:spacing w:before="60" w:after="60" w:line="36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Στην περίπτωση που κατά το έτος που προηγείται του έτους υποβολής της αίτησης </w:t>
      </w:r>
      <w:r w:rsidRPr="00F52C5F">
        <w:rPr>
          <w:rFonts w:asciiTheme="minorHAnsi" w:hAnsiTheme="minorHAnsi" w:cstheme="minorHAnsi"/>
          <w:sz w:val="22"/>
          <w:szCs w:val="22"/>
          <w:lang w:val="el-GR"/>
        </w:rPr>
        <w:t xml:space="preserve">χρηματοδότησης η επιχείρηση απασχόλησε περισσότερες των 4 Ε.Μ.Ε. το κριτήριο λαμβάνει τον μέγιστο βαθμό οκτώ, </w:t>
      </w:r>
      <w:r w:rsidRPr="00F52C5F">
        <w:rPr>
          <w:rFonts w:asciiTheme="minorHAnsi" w:hAnsiTheme="minorHAnsi" w:cstheme="minorHAnsi"/>
          <w:b/>
          <w:bCs/>
          <w:sz w:val="22"/>
          <w:szCs w:val="22"/>
          <w:u w:val="single"/>
          <w:lang w:val="el-GR"/>
        </w:rPr>
        <w:t>Βαθμός=8</w:t>
      </w:r>
      <w:r w:rsidRPr="00F52C5F">
        <w:rPr>
          <w:rFonts w:asciiTheme="minorHAnsi" w:hAnsiTheme="minorHAnsi" w:cstheme="minorHAnsi"/>
          <w:sz w:val="22"/>
          <w:szCs w:val="22"/>
          <w:lang w:val="el-GR"/>
        </w:rPr>
        <w:t>.</w:t>
      </w:r>
    </w:p>
    <w:p w14:paraId="2B933CB3" w14:textId="77777777" w:rsidR="001739E0" w:rsidRPr="00F52C5F" w:rsidRDefault="001739E0" w:rsidP="001739E0">
      <w:pPr>
        <w:spacing w:before="60" w:after="60" w:line="360" w:lineRule="auto"/>
        <w:rPr>
          <w:rFonts w:asciiTheme="minorHAnsi" w:hAnsiTheme="minorHAnsi" w:cstheme="minorHAnsi"/>
          <w:sz w:val="22"/>
          <w:szCs w:val="22"/>
        </w:rPr>
      </w:pPr>
      <w:r w:rsidRPr="00F52C5F">
        <w:rPr>
          <w:rFonts w:asciiTheme="minorHAnsi" w:hAnsiTheme="minorHAnsi" w:cstheme="minorHAnsi"/>
          <w:sz w:val="22"/>
          <w:szCs w:val="22"/>
          <w:lang w:val="el-GR"/>
        </w:rPr>
        <w:t>Δηλαδή:</w:t>
      </w:r>
    </w:p>
    <w:p w14:paraId="4A8C7113" w14:textId="77777777" w:rsidR="001739E0" w:rsidRPr="00F52C5F" w:rsidRDefault="001739E0" w:rsidP="001739E0">
      <w:pPr>
        <w:pStyle w:val="ListParagraph"/>
        <w:numPr>
          <w:ilvl w:val="0"/>
          <w:numId w:val="5"/>
        </w:numPr>
        <w:spacing w:before="60" w:after="60" w:line="276" w:lineRule="auto"/>
        <w:contextualSpacing w:val="0"/>
        <w:rPr>
          <w:rFonts w:asciiTheme="minorHAnsi" w:hAnsiTheme="minorHAnsi" w:cstheme="minorHAnsi"/>
          <w:sz w:val="22"/>
          <w:szCs w:val="22"/>
          <w:lang w:val="el-GR"/>
        </w:rPr>
      </w:pPr>
      <w:r w:rsidRPr="00F52C5F">
        <w:rPr>
          <w:rFonts w:asciiTheme="minorHAnsi" w:hAnsiTheme="minorHAnsi" w:cstheme="minorHAnsi"/>
          <w:sz w:val="22"/>
          <w:szCs w:val="22"/>
          <w:lang w:val="el-GR"/>
        </w:rPr>
        <w:t xml:space="preserve">όταν ΕΜΕ (2024) </w:t>
      </w:r>
      <w:r>
        <w:rPr>
          <w:rFonts w:asciiTheme="minorHAnsi" w:hAnsiTheme="minorHAnsi" w:cstheme="minorHAnsi"/>
          <w:sz w:val="22"/>
          <w:szCs w:val="22"/>
          <w:lang w:val="el-GR"/>
        </w:rPr>
        <w:t xml:space="preserve">= </w:t>
      </w:r>
      <w:r w:rsidRPr="00F52C5F">
        <w:rPr>
          <w:rFonts w:asciiTheme="minorHAnsi" w:hAnsiTheme="minorHAnsi" w:cstheme="minorHAnsi"/>
          <w:sz w:val="22"/>
          <w:szCs w:val="22"/>
          <w:lang w:val="el-GR"/>
        </w:rPr>
        <w:t>0</w:t>
      </w:r>
      <w:r>
        <w:rPr>
          <w:rFonts w:asciiTheme="minorHAnsi" w:hAnsiTheme="minorHAnsi" w:cstheme="minorHAnsi"/>
          <w:sz w:val="22"/>
          <w:szCs w:val="22"/>
          <w:lang w:val="el-GR"/>
        </w:rPr>
        <w:t xml:space="preserve">, </w:t>
      </w:r>
      <w:r w:rsidRPr="00F52C5F">
        <w:rPr>
          <w:rFonts w:asciiTheme="minorHAnsi" w:hAnsiTheme="minorHAnsi" w:cstheme="minorHAnsi"/>
          <w:b/>
          <w:bCs/>
          <w:sz w:val="22"/>
          <w:szCs w:val="22"/>
          <w:u w:val="single"/>
          <w:lang w:val="el-GR"/>
        </w:rPr>
        <w:t>Βαθμός=0</w:t>
      </w:r>
    </w:p>
    <w:p w14:paraId="08DABBC6" w14:textId="77777777" w:rsidR="001739E0" w:rsidRPr="00F52C5F" w:rsidRDefault="001739E0" w:rsidP="001739E0">
      <w:pPr>
        <w:pStyle w:val="ListParagraph"/>
        <w:numPr>
          <w:ilvl w:val="0"/>
          <w:numId w:val="5"/>
        </w:numPr>
        <w:spacing w:before="60" w:after="60" w:line="276" w:lineRule="auto"/>
        <w:contextualSpacing w:val="0"/>
        <w:rPr>
          <w:rFonts w:asciiTheme="minorHAnsi" w:hAnsiTheme="minorHAnsi" w:cstheme="minorHAnsi"/>
          <w:sz w:val="22"/>
          <w:szCs w:val="22"/>
          <w:lang w:val="el-GR"/>
        </w:rPr>
      </w:pPr>
      <w:r w:rsidRPr="00F52C5F">
        <w:rPr>
          <w:rFonts w:asciiTheme="minorHAnsi" w:hAnsiTheme="minorHAnsi" w:cstheme="minorHAnsi"/>
          <w:sz w:val="22"/>
          <w:szCs w:val="22"/>
          <w:lang w:val="el-GR"/>
        </w:rPr>
        <w:t xml:space="preserve">όταν 0 &lt; ΕΜΕ (2024) ≤ 4, </w:t>
      </w:r>
      <w:r w:rsidRPr="00F52C5F">
        <w:rPr>
          <w:rFonts w:asciiTheme="minorHAnsi" w:hAnsiTheme="minorHAnsi" w:cstheme="minorHAnsi"/>
          <w:b/>
          <w:bCs/>
          <w:sz w:val="22"/>
          <w:szCs w:val="22"/>
          <w:u w:val="single"/>
          <w:lang w:val="el-GR"/>
        </w:rPr>
        <w:t>Βαθμός = ΕΜΕ (2024) * 2</w:t>
      </w:r>
    </w:p>
    <w:p w14:paraId="4A62548D" w14:textId="77777777" w:rsidR="001739E0" w:rsidRPr="00F52C5F" w:rsidRDefault="001739E0" w:rsidP="001739E0">
      <w:pPr>
        <w:pStyle w:val="ListParagraph"/>
        <w:numPr>
          <w:ilvl w:val="0"/>
          <w:numId w:val="5"/>
        </w:numPr>
        <w:spacing w:before="60" w:after="60" w:line="276" w:lineRule="auto"/>
        <w:contextualSpacing w:val="0"/>
        <w:rPr>
          <w:rFonts w:asciiTheme="minorHAnsi" w:hAnsiTheme="minorHAnsi" w:cstheme="minorHAnsi"/>
          <w:sz w:val="22"/>
          <w:szCs w:val="22"/>
          <w:lang w:val="el-GR"/>
        </w:rPr>
      </w:pPr>
      <w:r w:rsidRPr="00F52C5F">
        <w:rPr>
          <w:rFonts w:asciiTheme="minorHAnsi" w:hAnsiTheme="minorHAnsi" w:cstheme="minorHAnsi"/>
          <w:sz w:val="22"/>
          <w:szCs w:val="22"/>
          <w:lang w:val="el-GR"/>
        </w:rPr>
        <w:t xml:space="preserve">όταν ΕΜΕ (2024) &gt; </w:t>
      </w:r>
      <w:r w:rsidRPr="00F52C5F">
        <w:rPr>
          <w:rFonts w:asciiTheme="minorHAnsi" w:hAnsiTheme="minorHAnsi" w:cstheme="minorHAnsi"/>
          <w:sz w:val="22"/>
          <w:szCs w:val="22"/>
        </w:rPr>
        <w:t>4</w:t>
      </w:r>
      <w:r>
        <w:rPr>
          <w:rFonts w:asciiTheme="minorHAnsi" w:hAnsiTheme="minorHAnsi" w:cstheme="minorHAnsi"/>
          <w:sz w:val="22"/>
          <w:szCs w:val="22"/>
          <w:lang w:val="el-GR"/>
        </w:rPr>
        <w:t xml:space="preserve">, </w:t>
      </w:r>
      <w:r w:rsidRPr="00F52C5F">
        <w:rPr>
          <w:rFonts w:asciiTheme="minorHAnsi" w:hAnsiTheme="minorHAnsi" w:cstheme="minorHAnsi"/>
          <w:b/>
          <w:bCs/>
          <w:sz w:val="22"/>
          <w:szCs w:val="22"/>
          <w:u w:val="single"/>
          <w:lang w:val="el-GR"/>
        </w:rPr>
        <w:t>Βαθμός = 8</w:t>
      </w:r>
    </w:p>
    <w:bookmarkEnd w:id="8"/>
    <w:p w14:paraId="395272D9" w14:textId="77777777" w:rsidR="001739E0" w:rsidRPr="00F52C5F" w:rsidRDefault="001739E0" w:rsidP="001739E0">
      <w:pPr>
        <w:spacing w:before="60" w:after="60" w:line="360"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Σημειώνεται ότι στον αριθμό απασχολουμένων (ΕΜΕ) του βαθμολογούμενου κριτηρίου λαμβάνονται υπόψη εργαζόμενοι που δηλώνονται στο Π.Σ. ΕΡΓΑΝΗ, δηλαδή ΔΕΝ </w:t>
      </w:r>
      <w:r w:rsidRPr="00F52C5F">
        <w:rPr>
          <w:rFonts w:asciiTheme="minorHAnsi" w:hAnsiTheme="minorHAnsi" w:cstheme="minorHAnsi"/>
          <w:sz w:val="22"/>
          <w:szCs w:val="22"/>
          <w:lang w:val="el-GR"/>
        </w:rPr>
        <w:t>συνυπολογίζονται οι ιδιοκτήτες / εταίροι / μέτοχοι επιχειρήσεων.</w:t>
      </w:r>
    </w:p>
    <w:p w14:paraId="2B0CCF91" w14:textId="77777777" w:rsidR="001739E0" w:rsidRPr="00F52C5F" w:rsidRDefault="001739E0" w:rsidP="001739E0">
      <w:pPr>
        <w:spacing w:before="240" w:after="40" w:line="276" w:lineRule="auto"/>
        <w:ind w:left="-6"/>
        <w:rPr>
          <w:rFonts w:asciiTheme="minorHAnsi" w:hAnsiTheme="minorHAnsi" w:cstheme="minorHAnsi"/>
          <w:b/>
          <w:bCs/>
          <w:sz w:val="22"/>
          <w:szCs w:val="22"/>
          <w:u w:val="single"/>
          <w:lang w:val="el-GR"/>
        </w:rPr>
      </w:pPr>
      <w:r w:rsidRPr="00F52C5F">
        <w:rPr>
          <w:rFonts w:asciiTheme="minorHAnsi" w:hAnsiTheme="minorHAnsi" w:cstheme="minorHAnsi"/>
          <w:b/>
          <w:bCs/>
          <w:sz w:val="22"/>
          <w:szCs w:val="22"/>
          <w:u w:val="single"/>
          <w:lang w:val="el-GR"/>
        </w:rPr>
        <w:t>Κριτήριο 6: Υιοθέτηση Πράσινων Τεχνολογιών και Οικολογικών Λύσεων</w:t>
      </w:r>
    </w:p>
    <w:p w14:paraId="2583B443" w14:textId="77777777" w:rsidR="001739E0" w:rsidRPr="00F52C5F" w:rsidRDefault="001739E0" w:rsidP="001739E0">
      <w:pPr>
        <w:spacing w:before="20" w:after="40" w:line="276" w:lineRule="auto"/>
        <w:rPr>
          <w:rFonts w:asciiTheme="minorHAnsi" w:hAnsiTheme="minorHAnsi" w:cstheme="minorHAnsi"/>
          <w:sz w:val="22"/>
          <w:szCs w:val="22"/>
          <w:lang w:val="el-GR"/>
        </w:rPr>
      </w:pPr>
      <w:r w:rsidRPr="00F52C5F">
        <w:rPr>
          <w:rFonts w:asciiTheme="minorHAnsi" w:hAnsiTheme="minorHAnsi" w:cstheme="minorHAnsi"/>
          <w:sz w:val="22"/>
          <w:szCs w:val="22"/>
          <w:lang w:val="el-GR"/>
        </w:rPr>
        <w:lastRenderedPageBreak/>
        <w:t>Στο κριτήριο 4 εξετάζεται και αξιολογείται:</w:t>
      </w:r>
    </w:p>
    <w:p w14:paraId="48A725DD" w14:textId="77777777" w:rsidR="001739E0" w:rsidRPr="00485967" w:rsidRDefault="001739E0" w:rsidP="001739E0">
      <w:pPr>
        <w:pStyle w:val="ListParagraph"/>
        <w:numPr>
          <w:ilvl w:val="0"/>
          <w:numId w:val="8"/>
        </w:numPr>
        <w:contextualSpacing w:val="0"/>
        <w:rPr>
          <w:rFonts w:asciiTheme="minorHAnsi" w:hAnsiTheme="minorHAnsi" w:cstheme="minorHAnsi"/>
          <w:sz w:val="22"/>
          <w:szCs w:val="22"/>
          <w:lang w:val="el-GR"/>
        </w:rPr>
      </w:pPr>
      <w:r w:rsidRPr="00416DA5">
        <w:rPr>
          <w:rFonts w:asciiTheme="minorHAnsi" w:hAnsiTheme="minorHAnsi" w:cstheme="minorHAnsi"/>
          <w:sz w:val="22"/>
          <w:szCs w:val="22"/>
          <w:lang w:val="el-GR"/>
        </w:rPr>
        <w:t xml:space="preserve">ο βαθμός στον οποίον οι επιλέξιμες δαπάνες του Επενδυτικού Σχεδίου </w:t>
      </w:r>
      <w:r w:rsidRPr="00485967">
        <w:rPr>
          <w:rFonts w:asciiTheme="minorHAnsi" w:hAnsiTheme="minorHAnsi" w:cstheme="minorHAnsi"/>
          <w:sz w:val="22"/>
          <w:szCs w:val="22"/>
          <w:lang w:val="el-GR"/>
        </w:rPr>
        <w:t xml:space="preserve">συμμορφώνεται με τις υποχρεώσεις για υιοθέτηση πράσινων Τεχνολογικών λύσεων </w:t>
      </w:r>
    </w:p>
    <w:p w14:paraId="4F64599D" w14:textId="77777777" w:rsidR="001739E0" w:rsidRPr="00485967" w:rsidRDefault="001739E0" w:rsidP="001739E0">
      <w:pPr>
        <w:pStyle w:val="ListParagraph"/>
        <w:spacing w:before="20" w:after="40" w:line="276" w:lineRule="auto"/>
        <w:ind w:left="768"/>
        <w:rPr>
          <w:rFonts w:asciiTheme="minorHAnsi" w:hAnsiTheme="minorHAnsi" w:cstheme="minorHAnsi"/>
          <w:sz w:val="22"/>
          <w:szCs w:val="22"/>
          <w:lang w:val="el-GR"/>
        </w:rPr>
      </w:pPr>
    </w:p>
    <w:p w14:paraId="57CEBD11" w14:textId="77777777" w:rsidR="001739E0" w:rsidRPr="00485967" w:rsidRDefault="001739E0" w:rsidP="001739E0">
      <w:pPr>
        <w:pStyle w:val="ListParagraph"/>
        <w:numPr>
          <w:ilvl w:val="0"/>
          <w:numId w:val="8"/>
        </w:numPr>
        <w:spacing w:before="20" w:after="40" w:line="276" w:lineRule="auto"/>
        <w:contextualSpacing w:val="0"/>
        <w:rPr>
          <w:rFonts w:asciiTheme="minorHAnsi" w:hAnsiTheme="minorHAnsi" w:cstheme="minorHAnsi"/>
          <w:sz w:val="22"/>
          <w:szCs w:val="22"/>
          <w:lang w:val="el-GR"/>
        </w:rPr>
      </w:pPr>
      <w:r w:rsidRPr="00485967">
        <w:rPr>
          <w:rFonts w:asciiTheme="minorHAnsi" w:hAnsiTheme="minorHAnsi" w:cstheme="minorHAnsi"/>
          <w:sz w:val="22"/>
          <w:szCs w:val="22"/>
          <w:lang w:val="el-GR"/>
        </w:rPr>
        <w:t xml:space="preserve"> ο βαθμός στον οποίον υιοθετούνται τεχνολογικές και λειτουργικές λύσεις  που προάγουν βέλτιστες ενεργειακά και περιβαλλοντικά λύσεις, αναλόγως της δραστηριότητας της επιχείρησης, όπως ενδεικτικά αλλά όχι περιοριστικά, διαχείριση των υγρών &amp; στερεών αποβλήτων, περιορισμό της ρύπανσης του εδάφους, υπεδάφους, των υδάτων και της ατμόσφαιρας, βελτιστοποίηση κατανάλωσης υδάτινων πόρων / επανάχρηση νερού, μείωση αέριων ρύπων και όχλησης, μείωση κατανάλωσης και απώλειας νερού, ανακύκλωση, μείωση ελλαττωματικών προϊόντων, εγκατάσταση φωτοβολταϊκών σταθμών και συστημάτων αποθήκευσης για παραγωγή ηλεκτρικής ενέργειας και κάλυψη των ιδίων αναγκών (αυτοπαραγωγή).</w:t>
      </w:r>
    </w:p>
    <w:p w14:paraId="313817A2" w14:textId="77777777" w:rsidR="001739E0" w:rsidRPr="00485967" w:rsidRDefault="001739E0" w:rsidP="001739E0">
      <w:pPr>
        <w:pStyle w:val="ListParagraph"/>
        <w:spacing w:before="20" w:after="40" w:line="276" w:lineRule="auto"/>
        <w:ind w:left="768"/>
        <w:rPr>
          <w:rFonts w:asciiTheme="minorHAnsi" w:hAnsiTheme="minorHAnsi" w:cstheme="minorHAnsi"/>
          <w:sz w:val="22"/>
          <w:szCs w:val="22"/>
          <w:lang w:val="el-GR"/>
        </w:rPr>
      </w:pPr>
    </w:p>
    <w:p w14:paraId="4FEF6F40" w14:textId="77777777" w:rsidR="001739E0" w:rsidRPr="00485967" w:rsidRDefault="001739E0" w:rsidP="001739E0">
      <w:pPr>
        <w:spacing w:before="20" w:after="40" w:line="276" w:lineRule="auto"/>
        <w:rPr>
          <w:rFonts w:asciiTheme="minorHAnsi" w:hAnsiTheme="minorHAnsi" w:cstheme="minorHAnsi"/>
          <w:sz w:val="22"/>
          <w:szCs w:val="22"/>
          <w:lang w:val="el-GR"/>
        </w:rPr>
      </w:pPr>
      <w:r w:rsidRPr="00485967">
        <w:rPr>
          <w:rFonts w:asciiTheme="minorHAnsi" w:hAnsiTheme="minorHAnsi" w:cstheme="minorHAnsi"/>
          <w:sz w:val="22"/>
          <w:szCs w:val="22"/>
          <w:lang w:val="el-GR"/>
        </w:rPr>
        <w:t>Ειδικότερα, αξιολογείται το ποσοστό δ των επιλέξιμων δαπανών του Επενδυτικού Σχεδίου που αφορούν σε πράσινες λύσεις.</w:t>
      </w:r>
    </w:p>
    <w:p w14:paraId="2F8BDC71" w14:textId="77777777" w:rsidR="001739E0" w:rsidRPr="00C66F16" w:rsidRDefault="001739E0" w:rsidP="001739E0">
      <w:pPr>
        <w:spacing w:before="20" w:after="40" w:line="276" w:lineRule="auto"/>
        <w:rPr>
          <w:rFonts w:asciiTheme="minorHAnsi" w:hAnsiTheme="minorHAnsi" w:cstheme="minorHAnsi"/>
          <w:sz w:val="22"/>
          <w:szCs w:val="22"/>
          <w:highlight w:val="yellow"/>
          <w:lang w:val="el-GR"/>
        </w:rPr>
      </w:pPr>
    </w:p>
    <w:p w14:paraId="2394AE00" w14:textId="77777777" w:rsidR="001739E0" w:rsidRPr="008F739C" w:rsidRDefault="001739E0" w:rsidP="001739E0">
      <w:pPr>
        <w:spacing w:before="20" w:after="40" w:line="276" w:lineRule="auto"/>
        <w:rPr>
          <w:rFonts w:asciiTheme="minorHAnsi" w:hAnsiTheme="minorHAnsi" w:cstheme="minorHAnsi"/>
          <w:sz w:val="22"/>
          <w:szCs w:val="22"/>
          <w:lang w:val="el-GR"/>
        </w:rPr>
      </w:pPr>
      <w:r w:rsidRPr="008F739C">
        <w:rPr>
          <w:rFonts w:asciiTheme="minorHAnsi" w:hAnsiTheme="minorHAnsi" w:cstheme="minorHAnsi"/>
          <w:sz w:val="22"/>
          <w:szCs w:val="22"/>
          <w:lang w:val="el-GR"/>
        </w:rPr>
        <w:t xml:space="preserve">1. Στην περίπτωση που το ποσοστό δ των επιλέξιμων δαπανών του ΕΣ που αφορούν πράσινες λύσεις είναι μικρότερο του 30% των επιλέξιμων δαπανών: </w:t>
      </w:r>
      <w:r w:rsidRPr="008F739C">
        <w:rPr>
          <w:rFonts w:asciiTheme="minorHAnsi" w:hAnsiTheme="minorHAnsi" w:cstheme="minorHAnsi"/>
          <w:b/>
          <w:bCs/>
          <w:sz w:val="22"/>
          <w:szCs w:val="22"/>
          <w:u w:val="single"/>
          <w:lang w:val="el-GR"/>
        </w:rPr>
        <w:t>Βαθμός=0</w:t>
      </w:r>
      <w:r w:rsidRPr="008F739C">
        <w:rPr>
          <w:rFonts w:asciiTheme="minorHAnsi" w:hAnsiTheme="minorHAnsi" w:cstheme="minorHAnsi"/>
          <w:sz w:val="22"/>
          <w:szCs w:val="22"/>
          <w:lang w:val="el-GR"/>
        </w:rPr>
        <w:t>.</w:t>
      </w:r>
    </w:p>
    <w:p w14:paraId="19E3EC67" w14:textId="77777777" w:rsidR="001739E0" w:rsidRPr="008F739C" w:rsidRDefault="001739E0" w:rsidP="001739E0">
      <w:pPr>
        <w:spacing w:before="20" w:after="40" w:line="276" w:lineRule="auto"/>
        <w:rPr>
          <w:rFonts w:asciiTheme="minorHAnsi" w:hAnsiTheme="minorHAnsi" w:cstheme="minorHAnsi"/>
          <w:sz w:val="22"/>
          <w:szCs w:val="22"/>
          <w:lang w:val="el-GR"/>
        </w:rPr>
      </w:pPr>
      <w:r w:rsidRPr="008F739C">
        <w:rPr>
          <w:rFonts w:asciiTheme="minorHAnsi" w:hAnsiTheme="minorHAnsi" w:cstheme="minorHAnsi"/>
          <w:sz w:val="22"/>
          <w:szCs w:val="22"/>
          <w:lang w:val="el-GR"/>
        </w:rPr>
        <w:t xml:space="preserve">2. Στην περίπτωση που το ποσοστό δ των επιλέξιμων δαπανών του ΕΣ που αφορούν πράσινες λύσεις είναι μεγαλύτερο ή ίσο του 30% και μικρότερο του 50% των επιλέξιμων δαπανών: </w:t>
      </w:r>
      <w:r w:rsidRPr="008F739C">
        <w:rPr>
          <w:rFonts w:asciiTheme="minorHAnsi" w:hAnsiTheme="minorHAnsi" w:cstheme="minorHAnsi"/>
          <w:b/>
          <w:bCs/>
          <w:sz w:val="22"/>
          <w:szCs w:val="22"/>
          <w:u w:val="single"/>
          <w:lang w:val="el-GR"/>
        </w:rPr>
        <w:t>Βαθμός=2,5</w:t>
      </w:r>
      <w:r w:rsidRPr="008F739C">
        <w:rPr>
          <w:rFonts w:asciiTheme="minorHAnsi" w:hAnsiTheme="minorHAnsi" w:cstheme="minorHAnsi"/>
          <w:sz w:val="22"/>
          <w:szCs w:val="22"/>
          <w:lang w:val="el-GR"/>
        </w:rPr>
        <w:t>.</w:t>
      </w:r>
    </w:p>
    <w:p w14:paraId="57F0D9F3" w14:textId="77777777" w:rsidR="001739E0" w:rsidRPr="008F739C" w:rsidRDefault="001739E0" w:rsidP="001739E0">
      <w:pPr>
        <w:spacing w:before="20" w:after="40" w:line="276" w:lineRule="auto"/>
        <w:rPr>
          <w:rFonts w:asciiTheme="minorHAnsi" w:hAnsiTheme="minorHAnsi" w:cstheme="minorHAnsi"/>
          <w:sz w:val="22"/>
          <w:szCs w:val="22"/>
          <w:lang w:val="el-GR"/>
        </w:rPr>
      </w:pPr>
      <w:r w:rsidRPr="008F739C">
        <w:rPr>
          <w:rFonts w:asciiTheme="minorHAnsi" w:hAnsiTheme="minorHAnsi" w:cstheme="minorHAnsi"/>
          <w:sz w:val="22"/>
          <w:szCs w:val="22"/>
          <w:lang w:val="el-GR"/>
        </w:rPr>
        <w:t xml:space="preserve">3. Στην περίπτωση που το ποσοστό δ των επιλέξιμων δαπανών του ΕΣ που αφορούν πράσινες λύσεις είναι μεγαλύτερο ή ίσο του 50% και μικρότερο του 70% των επιλέξιμων δαπανών: </w:t>
      </w:r>
      <w:r w:rsidRPr="008F739C">
        <w:rPr>
          <w:rFonts w:asciiTheme="minorHAnsi" w:hAnsiTheme="minorHAnsi" w:cstheme="minorHAnsi"/>
          <w:b/>
          <w:bCs/>
          <w:sz w:val="22"/>
          <w:szCs w:val="22"/>
          <w:u w:val="single"/>
          <w:lang w:val="el-GR"/>
        </w:rPr>
        <w:t>Βαθμός=5</w:t>
      </w:r>
      <w:r w:rsidRPr="008F739C">
        <w:rPr>
          <w:rFonts w:asciiTheme="minorHAnsi" w:hAnsiTheme="minorHAnsi" w:cstheme="minorHAnsi"/>
          <w:sz w:val="22"/>
          <w:szCs w:val="22"/>
          <w:lang w:val="el-GR"/>
        </w:rPr>
        <w:t>.</w:t>
      </w:r>
    </w:p>
    <w:p w14:paraId="4DE61166" w14:textId="77777777" w:rsidR="001739E0" w:rsidRPr="008F739C" w:rsidRDefault="001739E0" w:rsidP="001739E0">
      <w:pPr>
        <w:spacing w:before="20" w:after="40" w:line="276" w:lineRule="auto"/>
        <w:rPr>
          <w:rFonts w:asciiTheme="minorHAnsi" w:hAnsiTheme="minorHAnsi" w:cstheme="minorHAnsi"/>
          <w:sz w:val="22"/>
          <w:szCs w:val="22"/>
          <w:lang w:val="el-GR"/>
        </w:rPr>
      </w:pPr>
      <w:r w:rsidRPr="008F739C">
        <w:rPr>
          <w:rFonts w:asciiTheme="minorHAnsi" w:hAnsiTheme="minorHAnsi" w:cstheme="minorHAnsi"/>
          <w:sz w:val="22"/>
          <w:szCs w:val="22"/>
          <w:lang w:val="el-GR"/>
        </w:rPr>
        <w:t xml:space="preserve">4. Στην περίπτωση που το ποσοστό δ των επιλέξιμων δαπανών του ΕΣ που αφορούν πράσινες λύσεις είναι μεγαλύτερο ή ίσο του 70% των επιλέξιμων δαπανών: </w:t>
      </w:r>
      <w:r w:rsidRPr="008F739C">
        <w:rPr>
          <w:rFonts w:asciiTheme="minorHAnsi" w:hAnsiTheme="minorHAnsi" w:cstheme="minorHAnsi"/>
          <w:b/>
          <w:bCs/>
          <w:sz w:val="22"/>
          <w:szCs w:val="22"/>
          <w:u w:val="single"/>
          <w:lang w:val="el-GR"/>
        </w:rPr>
        <w:t>Βαθμός=8</w:t>
      </w:r>
      <w:r w:rsidRPr="008F739C">
        <w:rPr>
          <w:rFonts w:asciiTheme="minorHAnsi" w:hAnsiTheme="minorHAnsi" w:cstheme="minorHAnsi"/>
          <w:sz w:val="22"/>
          <w:szCs w:val="22"/>
          <w:lang w:val="el-GR"/>
        </w:rPr>
        <w:t>.</w:t>
      </w:r>
    </w:p>
    <w:p w14:paraId="0E3652E5" w14:textId="77777777" w:rsidR="001739E0" w:rsidRPr="008F739C" w:rsidRDefault="001739E0" w:rsidP="001739E0">
      <w:pPr>
        <w:spacing w:before="60" w:after="60" w:line="360" w:lineRule="auto"/>
        <w:rPr>
          <w:rFonts w:asciiTheme="minorHAnsi" w:hAnsiTheme="minorHAnsi" w:cstheme="minorHAnsi"/>
          <w:sz w:val="22"/>
          <w:szCs w:val="22"/>
          <w:lang w:val="el-GR"/>
        </w:rPr>
      </w:pPr>
    </w:p>
    <w:p w14:paraId="5516D0B0" w14:textId="77777777" w:rsidR="001739E0" w:rsidRPr="008F739C" w:rsidRDefault="001739E0" w:rsidP="001739E0">
      <w:pPr>
        <w:spacing w:before="60" w:after="60" w:line="288" w:lineRule="auto"/>
        <w:ind w:left="-6"/>
        <w:rPr>
          <w:rFonts w:asciiTheme="minorHAnsi" w:hAnsiTheme="minorHAnsi" w:cstheme="minorHAnsi"/>
          <w:b/>
          <w:bCs/>
          <w:sz w:val="22"/>
          <w:szCs w:val="22"/>
          <w:u w:val="single"/>
          <w:lang w:val="el-GR"/>
        </w:rPr>
      </w:pPr>
      <w:bookmarkStart w:id="9" w:name="_Hlk150264994"/>
      <w:r w:rsidRPr="008F739C">
        <w:rPr>
          <w:rFonts w:asciiTheme="minorHAnsi" w:hAnsiTheme="minorHAnsi" w:cstheme="minorHAnsi"/>
          <w:b/>
          <w:bCs/>
          <w:sz w:val="22"/>
          <w:szCs w:val="22"/>
          <w:u w:val="single"/>
          <w:lang w:val="el-GR"/>
        </w:rPr>
        <w:t>Κριτήριο 7: Αύξηση απασχόλησης  (ΕΜΕ Μισθωτής Εργασίας)</w:t>
      </w:r>
    </w:p>
    <w:p w14:paraId="6750E44D" w14:textId="77777777" w:rsidR="001739E0" w:rsidRPr="008F739C" w:rsidRDefault="001739E0" w:rsidP="001739E0">
      <w:pPr>
        <w:spacing w:before="60" w:after="60" w:line="360" w:lineRule="auto"/>
        <w:rPr>
          <w:rFonts w:asciiTheme="minorHAnsi" w:hAnsiTheme="minorHAnsi" w:cstheme="minorHAnsi"/>
          <w:sz w:val="22"/>
          <w:szCs w:val="22"/>
          <w:lang w:val="el-GR"/>
        </w:rPr>
      </w:pPr>
      <w:r w:rsidRPr="008F739C">
        <w:rPr>
          <w:rFonts w:asciiTheme="minorHAnsi" w:hAnsiTheme="minorHAnsi" w:cstheme="minorHAnsi"/>
          <w:sz w:val="22"/>
          <w:szCs w:val="22"/>
          <w:lang w:val="el-GR"/>
        </w:rPr>
        <w:t xml:space="preserve">Στο κριτήριο </w:t>
      </w:r>
      <w:r>
        <w:rPr>
          <w:rFonts w:asciiTheme="minorHAnsi" w:hAnsiTheme="minorHAnsi" w:cstheme="minorHAnsi"/>
          <w:sz w:val="22"/>
          <w:szCs w:val="22"/>
          <w:lang w:val="el-GR"/>
        </w:rPr>
        <w:t>7</w:t>
      </w:r>
      <w:r w:rsidRPr="008F739C">
        <w:rPr>
          <w:rFonts w:asciiTheme="minorHAnsi" w:hAnsiTheme="minorHAnsi" w:cstheme="minorHAnsi"/>
          <w:sz w:val="22"/>
          <w:szCs w:val="22"/>
          <w:lang w:val="el-GR"/>
        </w:rPr>
        <w:t xml:space="preserve"> βαθμολογείται η δήλωση/δέσμευση για δημιουργία/αύξηση από την δικαιούχο, θέσεων απασχόλησης (εκφρασμένη σε ετήσιες μονάδες εργασίας), πέραν της τυπικής προϋπόθεσης για κατ' ελάχιστο αύξηση/δημιουργία μισής (0,5) Ε.Μ.Ε. Κλάσματα Ε.Μ.Ε. βαθμολογούνται ανάλογα.  </w:t>
      </w:r>
    </w:p>
    <w:p w14:paraId="25533B2F" w14:textId="77777777" w:rsidR="001739E0" w:rsidRPr="008F739C" w:rsidRDefault="001739E0" w:rsidP="001739E0">
      <w:pPr>
        <w:spacing w:before="60" w:after="60" w:line="360" w:lineRule="auto"/>
        <w:rPr>
          <w:rFonts w:asciiTheme="minorHAnsi" w:hAnsiTheme="minorHAnsi" w:cstheme="minorHAnsi"/>
          <w:sz w:val="22"/>
          <w:szCs w:val="22"/>
          <w:lang w:val="el-GR"/>
        </w:rPr>
      </w:pPr>
      <w:r w:rsidRPr="008F739C">
        <w:rPr>
          <w:rFonts w:asciiTheme="minorHAnsi" w:hAnsiTheme="minorHAnsi" w:cstheme="minorHAnsi"/>
          <w:sz w:val="22"/>
          <w:szCs w:val="22"/>
          <w:lang w:val="el-GR"/>
        </w:rPr>
        <w:t>Δηλαδή:</w:t>
      </w:r>
    </w:p>
    <w:p w14:paraId="0512526B" w14:textId="77777777" w:rsidR="001739E0" w:rsidRPr="001315A8" w:rsidRDefault="001739E0" w:rsidP="001739E0">
      <w:pPr>
        <w:pStyle w:val="ListParagraph"/>
        <w:numPr>
          <w:ilvl w:val="0"/>
          <w:numId w:val="4"/>
        </w:numPr>
        <w:spacing w:before="60" w:after="60" w:line="276" w:lineRule="auto"/>
        <w:contextualSpacing w:val="0"/>
        <w:rPr>
          <w:rFonts w:asciiTheme="minorHAnsi" w:hAnsiTheme="minorHAnsi" w:cstheme="minorHAnsi"/>
          <w:sz w:val="22"/>
          <w:szCs w:val="22"/>
          <w:lang w:val="el-GR"/>
        </w:rPr>
      </w:pPr>
      <w:r w:rsidRPr="001315A8">
        <w:rPr>
          <w:rFonts w:asciiTheme="minorHAnsi" w:hAnsiTheme="minorHAnsi" w:cstheme="minorHAnsi"/>
          <w:sz w:val="22"/>
          <w:szCs w:val="22"/>
          <w:lang w:val="el-GR"/>
        </w:rPr>
        <w:t>0,5 &lt; αναλογική Βαθμολόγηση (για κάθε 0,1 ΕΜΕ αύξηση λαμβάνει 1,5 βαθμό) &lt; 1,5</w:t>
      </w:r>
    </w:p>
    <w:p w14:paraId="2AF08C45" w14:textId="77777777" w:rsidR="001739E0" w:rsidRPr="001315A8" w:rsidRDefault="001739E0" w:rsidP="001739E0">
      <w:pPr>
        <w:pStyle w:val="ListParagraph"/>
        <w:spacing w:before="60" w:after="60" w:line="276" w:lineRule="auto"/>
        <w:rPr>
          <w:rFonts w:asciiTheme="minorHAnsi" w:hAnsiTheme="minorHAnsi" w:cstheme="minorHAnsi"/>
          <w:sz w:val="22"/>
          <w:szCs w:val="22"/>
          <w:lang w:val="el-GR"/>
        </w:rPr>
      </w:pPr>
      <w:r w:rsidRPr="001315A8">
        <w:rPr>
          <w:rFonts w:asciiTheme="minorHAnsi" w:hAnsiTheme="minorHAnsi" w:cstheme="minorHAnsi"/>
          <w:sz w:val="22"/>
          <w:szCs w:val="22"/>
          <w:lang w:val="el-GR"/>
        </w:rPr>
        <w:t>Όπου 0,5 ΕΜΕ = 15 βαθμοί, &lt; 0,5 ΕΜΕ = 0</w:t>
      </w:r>
    </w:p>
    <w:p w14:paraId="6941EBC9" w14:textId="77777777" w:rsidR="001739E0" w:rsidRDefault="001739E0" w:rsidP="001739E0">
      <w:pPr>
        <w:pStyle w:val="ListParagraph"/>
        <w:numPr>
          <w:ilvl w:val="0"/>
          <w:numId w:val="4"/>
        </w:numPr>
        <w:spacing w:before="60" w:after="60" w:line="276" w:lineRule="auto"/>
        <w:contextualSpacing w:val="0"/>
        <w:rPr>
          <w:rFonts w:asciiTheme="minorHAnsi" w:hAnsiTheme="minorHAnsi" w:cstheme="minorHAnsi"/>
          <w:sz w:val="22"/>
          <w:szCs w:val="22"/>
          <w:lang w:val="el-GR"/>
        </w:rPr>
      </w:pPr>
      <w:r w:rsidRPr="001315A8">
        <w:rPr>
          <w:rFonts w:asciiTheme="minorHAnsi" w:hAnsiTheme="minorHAnsi" w:cstheme="minorHAnsi"/>
          <w:sz w:val="22"/>
          <w:szCs w:val="22"/>
          <w:lang w:val="el-GR"/>
        </w:rPr>
        <w:lastRenderedPageBreak/>
        <w:t>Όταν ο δικαιούχος δηλώνει/δεσμεύεται για δημιουργία/αύξηση περισσότερες ή ίσες με 1,5 θέσεις απασχόλησης  βαθμολογία = 30.</w:t>
      </w:r>
    </w:p>
    <w:p w14:paraId="20FF6B1E" w14:textId="77777777" w:rsidR="001739E0" w:rsidRPr="006937D9" w:rsidRDefault="001739E0" w:rsidP="001739E0">
      <w:pPr>
        <w:pStyle w:val="ListParagraph"/>
        <w:spacing w:before="60" w:after="60" w:line="276" w:lineRule="auto"/>
        <w:rPr>
          <w:rFonts w:asciiTheme="minorHAnsi" w:hAnsiTheme="minorHAnsi" w:cstheme="minorHAnsi"/>
          <w:sz w:val="22"/>
          <w:szCs w:val="22"/>
          <w:lang w:val="el-GR"/>
        </w:rPr>
      </w:pPr>
    </w:p>
    <w:p w14:paraId="01BD235C" w14:textId="77777777" w:rsidR="001739E0" w:rsidRPr="00895EF7" w:rsidRDefault="001739E0" w:rsidP="001739E0">
      <w:pPr>
        <w:spacing w:before="60" w:after="60" w:line="240" w:lineRule="auto"/>
        <w:rPr>
          <w:rFonts w:asciiTheme="minorHAnsi" w:hAnsiTheme="minorHAnsi" w:cstheme="minorHAnsi"/>
          <w:b/>
          <w:bCs/>
          <w:sz w:val="22"/>
          <w:szCs w:val="22"/>
          <w:lang w:val="el-GR"/>
        </w:rPr>
      </w:pPr>
      <w:bookmarkStart w:id="10" w:name="_Hlk158285655"/>
      <w:r w:rsidRPr="003E0BC5">
        <w:rPr>
          <w:rFonts w:asciiTheme="minorHAnsi" w:hAnsiTheme="minorHAnsi" w:cstheme="minorHAnsi"/>
          <w:b/>
          <w:bCs/>
          <w:sz w:val="22"/>
          <w:szCs w:val="22"/>
          <w:lang w:val="el-GR"/>
        </w:rPr>
        <w:t>Σημειώνεται ότι στις μαθηματικές πράξεις που εκτελούνται από το ΟΠΣΚΕ προκειμένου να υπολογιστεί  η βαθμολογία του κάθε επί μέρους κριτηρίου αλλά και η συνολική βαθμολογία, καθολικά, γίνεται χρήση δεκαδικών αριθμών στους οποίους έχει επιβληθεί αποκοπή μετά το δεύτερο δεκαδικό ψηφίο</w:t>
      </w:r>
      <w:r w:rsidRPr="00895EF7">
        <w:rPr>
          <w:rFonts w:asciiTheme="minorHAnsi" w:hAnsiTheme="minorHAnsi" w:cstheme="minorHAnsi"/>
          <w:b/>
          <w:bCs/>
          <w:sz w:val="22"/>
          <w:szCs w:val="22"/>
          <w:lang w:val="el-GR"/>
        </w:rPr>
        <w:t xml:space="preserve">. </w:t>
      </w:r>
    </w:p>
    <w:bookmarkEnd w:id="9"/>
    <w:p w14:paraId="50024282" w14:textId="77777777" w:rsidR="001739E0" w:rsidRDefault="001739E0" w:rsidP="001739E0">
      <w:pPr>
        <w:spacing w:before="60" w:after="60" w:line="240" w:lineRule="auto"/>
        <w:rPr>
          <w:rFonts w:asciiTheme="minorHAnsi" w:hAnsiTheme="minorHAnsi" w:cstheme="minorHAnsi"/>
          <w:b/>
          <w:bCs/>
          <w:sz w:val="22"/>
          <w:szCs w:val="22"/>
          <w:lang w:val="el-GR"/>
        </w:rPr>
      </w:pPr>
    </w:p>
    <w:p w14:paraId="1DF7FF7A" w14:textId="7F48D459" w:rsidR="004D58F0" w:rsidRDefault="001739E0" w:rsidP="001739E0">
      <w:pPr>
        <w:spacing w:before="60" w:after="60" w:line="240" w:lineRule="auto"/>
      </w:pPr>
      <w:r w:rsidRPr="00895EF7">
        <w:rPr>
          <w:rFonts w:asciiTheme="minorHAnsi" w:hAnsiTheme="minorHAnsi" w:cstheme="minorHAnsi"/>
          <w:sz w:val="22"/>
          <w:szCs w:val="22"/>
          <w:lang w:val="el-GR"/>
        </w:rPr>
        <w:t>Για παράδειγμα στο 1</w:t>
      </w:r>
      <w:r w:rsidRPr="00895EF7">
        <w:rPr>
          <w:rFonts w:asciiTheme="minorHAnsi" w:hAnsiTheme="minorHAnsi" w:cstheme="minorHAnsi"/>
          <w:sz w:val="22"/>
          <w:szCs w:val="22"/>
          <w:vertAlign w:val="superscript"/>
          <w:lang w:val="el-GR"/>
        </w:rPr>
        <w:t>ο</w:t>
      </w:r>
      <w:r w:rsidRPr="00895EF7">
        <w:rPr>
          <w:rFonts w:asciiTheme="minorHAnsi" w:hAnsiTheme="minorHAnsi" w:cstheme="minorHAnsi"/>
          <w:sz w:val="22"/>
          <w:szCs w:val="22"/>
          <w:lang w:val="el-GR"/>
        </w:rPr>
        <w:t xml:space="preserve"> κριτήριο στο οποίο ο  δείκτης υπολογίζεται ως εξής: Διαθέσιμα Κεφάλαια = </w:t>
      </w:r>
      <w:r w:rsidRPr="009857A0">
        <w:rPr>
          <w:rFonts w:asciiTheme="minorHAnsi" w:hAnsiTheme="minorHAnsi" w:cstheme="minorHAnsi"/>
          <w:sz w:val="22"/>
          <w:szCs w:val="22"/>
          <w:lang w:val="el-GR"/>
        </w:rPr>
        <w:t xml:space="preserve">Διαθέσιμο Ποσό/Συνολικό Προϋπολογισμό </w:t>
      </w:r>
      <w:r w:rsidRPr="00895EF7">
        <w:rPr>
          <w:rFonts w:asciiTheme="minorHAnsi" w:hAnsiTheme="minorHAnsi" w:cstheme="minorHAnsi"/>
          <w:sz w:val="22"/>
          <w:szCs w:val="22"/>
          <w:lang w:val="el-GR"/>
        </w:rPr>
        <w:t xml:space="preserve">σε περίπτωση που το πηλίκο της διαίρεσης (δηλαδή ο δείκτης) είναι </w:t>
      </w:r>
      <w:r w:rsidRPr="00895EF7">
        <w:rPr>
          <w:rFonts w:asciiTheme="minorHAnsi" w:hAnsiTheme="minorHAnsi" w:cstheme="minorHAnsi"/>
          <w:b/>
          <w:bCs/>
          <w:sz w:val="22"/>
          <w:szCs w:val="22"/>
          <w:lang w:val="el-GR"/>
        </w:rPr>
        <w:t>0,3059</w:t>
      </w:r>
      <w:r w:rsidRPr="00895EF7">
        <w:rPr>
          <w:rFonts w:asciiTheme="minorHAnsi" w:hAnsiTheme="minorHAnsi" w:cstheme="minorHAnsi"/>
          <w:sz w:val="22"/>
          <w:szCs w:val="22"/>
          <w:lang w:val="el-GR"/>
        </w:rPr>
        <w:t xml:space="preserve"> τότε μηχανογραφικά λαμβάνεται υπόψη το </w:t>
      </w:r>
      <w:r w:rsidRPr="00895EF7">
        <w:rPr>
          <w:rFonts w:asciiTheme="minorHAnsi" w:hAnsiTheme="minorHAnsi" w:cstheme="minorHAnsi"/>
          <w:b/>
          <w:bCs/>
          <w:sz w:val="22"/>
          <w:szCs w:val="22"/>
          <w:lang w:val="el-GR"/>
        </w:rPr>
        <w:t>0,30</w:t>
      </w:r>
      <w:r w:rsidRPr="00895EF7">
        <w:rPr>
          <w:rFonts w:asciiTheme="minorHAnsi" w:hAnsiTheme="minorHAnsi" w:cstheme="minorHAnsi"/>
          <w:sz w:val="22"/>
          <w:szCs w:val="22"/>
          <w:lang w:val="el-GR"/>
        </w:rPr>
        <w:t xml:space="preserve"> για την εφαρμογή των κανόνων που διέπουν τον υπολογισμό της βαθμολογίας του κριτηρίου.</w:t>
      </w:r>
      <w:bookmarkEnd w:id="10"/>
    </w:p>
    <w:sectPr w:rsidR="004D58F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5B140" w14:textId="77777777" w:rsidR="00CA0435" w:rsidRDefault="00CA0435" w:rsidP="001739E0">
      <w:pPr>
        <w:spacing w:before="0" w:after="0" w:line="240" w:lineRule="auto"/>
      </w:pPr>
      <w:r>
        <w:separator/>
      </w:r>
    </w:p>
  </w:endnote>
  <w:endnote w:type="continuationSeparator" w:id="0">
    <w:p w14:paraId="6A8E144D" w14:textId="77777777" w:rsidR="00CA0435" w:rsidRDefault="00CA0435" w:rsidP="001739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803C" w14:textId="31ABD79F" w:rsidR="001739E0" w:rsidRDefault="001739E0">
    <w:pPr>
      <w:pStyle w:val="Footer"/>
    </w:pPr>
    <w:r>
      <w:rPr>
        <w:noProof/>
      </w:rPr>
      <w:drawing>
        <wp:inline distT="0" distB="0" distL="0" distR="0" wp14:anchorId="287BAF20" wp14:editId="3959E594">
          <wp:extent cx="5274310" cy="526101"/>
          <wp:effectExtent l="0" t="0" r="2540" b="7620"/>
          <wp:docPr id="1694259679"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12000"/>
                            </a14:imgEffect>
                            <a14:imgEffect>
                              <a14:brightnessContrast contrast="36000"/>
                            </a14:imgEffect>
                          </a14:imgLayer>
                        </a14:imgProps>
                      </a:ext>
                      <a:ext uri="{28A0092B-C50C-407E-A947-70E740481C1C}">
                        <a14:useLocalDpi xmlns:a14="http://schemas.microsoft.com/office/drawing/2010/main" val="0"/>
                      </a:ext>
                    </a:extLst>
                  </a:blip>
                  <a:srcRect/>
                  <a:stretch>
                    <a:fillRect/>
                  </a:stretch>
                </pic:blipFill>
                <pic:spPr bwMode="auto">
                  <a:xfrm>
                    <a:off x="0" y="0"/>
                    <a:ext cx="5274310" cy="5261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DB7A" w14:textId="77777777" w:rsidR="00CA0435" w:rsidRDefault="00CA0435" w:rsidP="001739E0">
      <w:pPr>
        <w:spacing w:before="0" w:after="0" w:line="240" w:lineRule="auto"/>
      </w:pPr>
      <w:r>
        <w:separator/>
      </w:r>
    </w:p>
  </w:footnote>
  <w:footnote w:type="continuationSeparator" w:id="0">
    <w:p w14:paraId="51881D2C" w14:textId="77777777" w:rsidR="00CA0435" w:rsidRDefault="00CA0435" w:rsidP="001739E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E68"/>
    <w:multiLevelType w:val="hybridMultilevel"/>
    <w:tmpl w:val="ABF0CB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664064"/>
    <w:multiLevelType w:val="hybridMultilevel"/>
    <w:tmpl w:val="DCBA4D06"/>
    <w:lvl w:ilvl="0" w:tplc="0408000F">
      <w:start w:val="1"/>
      <w:numFmt w:val="decimal"/>
      <w:lvlText w:val="%1."/>
      <w:lvlJc w:val="left"/>
      <w:pPr>
        <w:ind w:left="720" w:hanging="360"/>
      </w:pPr>
      <w:rPr>
        <w:rFonts w:cs="Times New Roman"/>
      </w:rPr>
    </w:lvl>
    <w:lvl w:ilvl="1" w:tplc="9308010A">
      <w:start w:val="1"/>
      <w:numFmt w:val="decimal"/>
      <w:lvlText w:val="%2."/>
      <w:lvlJc w:val="left"/>
      <w:pPr>
        <w:ind w:left="1440" w:hanging="360"/>
      </w:pPr>
      <w:rPr>
        <w:rFonts w:hint="default"/>
      </w:rPr>
    </w:lvl>
    <w:lvl w:ilvl="2" w:tplc="0408001B">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18F479B9"/>
    <w:multiLevelType w:val="hybridMultilevel"/>
    <w:tmpl w:val="E1E244F2"/>
    <w:lvl w:ilvl="0" w:tplc="0408000F">
      <w:start w:val="1"/>
      <w:numFmt w:val="decimal"/>
      <w:lvlText w:val="%1."/>
      <w:lvlJc w:val="left"/>
      <w:pPr>
        <w:ind w:left="647" w:hanging="360"/>
      </w:pPr>
    </w:lvl>
    <w:lvl w:ilvl="1" w:tplc="04080019" w:tentative="1">
      <w:start w:val="1"/>
      <w:numFmt w:val="lowerLetter"/>
      <w:lvlText w:val="%2."/>
      <w:lvlJc w:val="left"/>
      <w:pPr>
        <w:ind w:left="1367" w:hanging="360"/>
      </w:pPr>
    </w:lvl>
    <w:lvl w:ilvl="2" w:tplc="0408001B" w:tentative="1">
      <w:start w:val="1"/>
      <w:numFmt w:val="lowerRoman"/>
      <w:lvlText w:val="%3."/>
      <w:lvlJc w:val="right"/>
      <w:pPr>
        <w:ind w:left="2087" w:hanging="180"/>
      </w:pPr>
    </w:lvl>
    <w:lvl w:ilvl="3" w:tplc="0408000F" w:tentative="1">
      <w:start w:val="1"/>
      <w:numFmt w:val="decimal"/>
      <w:lvlText w:val="%4."/>
      <w:lvlJc w:val="left"/>
      <w:pPr>
        <w:ind w:left="2807" w:hanging="360"/>
      </w:pPr>
    </w:lvl>
    <w:lvl w:ilvl="4" w:tplc="04080019" w:tentative="1">
      <w:start w:val="1"/>
      <w:numFmt w:val="lowerLetter"/>
      <w:lvlText w:val="%5."/>
      <w:lvlJc w:val="left"/>
      <w:pPr>
        <w:ind w:left="3527" w:hanging="360"/>
      </w:pPr>
    </w:lvl>
    <w:lvl w:ilvl="5" w:tplc="0408001B" w:tentative="1">
      <w:start w:val="1"/>
      <w:numFmt w:val="lowerRoman"/>
      <w:lvlText w:val="%6."/>
      <w:lvlJc w:val="right"/>
      <w:pPr>
        <w:ind w:left="4247" w:hanging="180"/>
      </w:pPr>
    </w:lvl>
    <w:lvl w:ilvl="6" w:tplc="0408000F" w:tentative="1">
      <w:start w:val="1"/>
      <w:numFmt w:val="decimal"/>
      <w:lvlText w:val="%7."/>
      <w:lvlJc w:val="left"/>
      <w:pPr>
        <w:ind w:left="4967" w:hanging="360"/>
      </w:pPr>
    </w:lvl>
    <w:lvl w:ilvl="7" w:tplc="04080019" w:tentative="1">
      <w:start w:val="1"/>
      <w:numFmt w:val="lowerLetter"/>
      <w:lvlText w:val="%8."/>
      <w:lvlJc w:val="left"/>
      <w:pPr>
        <w:ind w:left="5687" w:hanging="360"/>
      </w:pPr>
    </w:lvl>
    <w:lvl w:ilvl="8" w:tplc="0408001B" w:tentative="1">
      <w:start w:val="1"/>
      <w:numFmt w:val="lowerRoman"/>
      <w:lvlText w:val="%9."/>
      <w:lvlJc w:val="right"/>
      <w:pPr>
        <w:ind w:left="6407" w:hanging="180"/>
      </w:pPr>
    </w:lvl>
  </w:abstractNum>
  <w:abstractNum w:abstractNumId="3" w15:restartNumberingAfterBreak="0">
    <w:nsid w:val="21B9620F"/>
    <w:multiLevelType w:val="hybridMultilevel"/>
    <w:tmpl w:val="C1C66E16"/>
    <w:lvl w:ilvl="0" w:tplc="0408000F">
      <w:start w:val="1"/>
      <w:numFmt w:val="decimal"/>
      <w:lvlText w:val="%1."/>
      <w:lvlJc w:val="left"/>
      <w:pPr>
        <w:ind w:left="792"/>
      </w:pPr>
      <w:rPr>
        <w:rFonts w:hint="default"/>
        <w:b/>
        <w:bCs/>
        <w:i w:val="0"/>
        <w:strike w:val="0"/>
        <w:dstrike w:val="0"/>
        <w:color w:val="000000"/>
        <w:sz w:val="20"/>
        <w:szCs w:val="20"/>
        <w:u w:val="none" w:color="000000"/>
        <w:vertAlign w:val="baseline"/>
      </w:rPr>
    </w:lvl>
    <w:lvl w:ilvl="1" w:tplc="FFFFFFFF">
      <w:start w:val="1"/>
      <w:numFmt w:val="lowerLetter"/>
      <w:lvlText w:val="%2"/>
      <w:lvlJc w:val="left"/>
      <w:pPr>
        <w:ind w:left="1486"/>
      </w:pPr>
      <w:rPr>
        <w:rFonts w:ascii="Calibri" w:eastAsia="Times New Roman" w:hAnsi="Calibri" w:cs="Calibri"/>
        <w:b/>
        <w:bCs/>
        <w:i w:val="0"/>
        <w:strike w:val="0"/>
        <w:dstrike w:val="0"/>
        <w:color w:val="000000"/>
        <w:sz w:val="22"/>
        <w:szCs w:val="22"/>
        <w:u w:val="none" w:color="000000"/>
        <w:vertAlign w:val="baseline"/>
      </w:rPr>
    </w:lvl>
    <w:lvl w:ilvl="2" w:tplc="FFFFFFFF">
      <w:start w:val="1"/>
      <w:numFmt w:val="lowerRoman"/>
      <w:lvlText w:val="%3"/>
      <w:lvlJc w:val="left"/>
      <w:pPr>
        <w:ind w:left="2206"/>
      </w:pPr>
      <w:rPr>
        <w:rFonts w:ascii="Calibri" w:eastAsia="Times New Roman" w:hAnsi="Calibri" w:cs="Calibri"/>
        <w:b/>
        <w:bCs/>
        <w:i w:val="0"/>
        <w:strike w:val="0"/>
        <w:dstrike w:val="0"/>
        <w:color w:val="000000"/>
        <w:sz w:val="22"/>
        <w:szCs w:val="22"/>
        <w:u w:val="none" w:color="000000"/>
        <w:vertAlign w:val="baseline"/>
      </w:rPr>
    </w:lvl>
    <w:lvl w:ilvl="3" w:tplc="FFFFFFFF">
      <w:start w:val="1"/>
      <w:numFmt w:val="decimal"/>
      <w:lvlText w:val="%4"/>
      <w:lvlJc w:val="left"/>
      <w:pPr>
        <w:ind w:left="2926"/>
      </w:pPr>
      <w:rPr>
        <w:rFonts w:ascii="Calibri" w:eastAsia="Times New Roman" w:hAnsi="Calibri" w:cs="Calibri"/>
        <w:b/>
        <w:bCs/>
        <w:i w:val="0"/>
        <w:strike w:val="0"/>
        <w:dstrike w:val="0"/>
        <w:color w:val="000000"/>
        <w:sz w:val="22"/>
        <w:szCs w:val="22"/>
        <w:u w:val="none" w:color="000000"/>
        <w:vertAlign w:val="baseline"/>
      </w:rPr>
    </w:lvl>
    <w:lvl w:ilvl="4" w:tplc="FFFFFFFF">
      <w:start w:val="1"/>
      <w:numFmt w:val="lowerLetter"/>
      <w:lvlText w:val="%5"/>
      <w:lvlJc w:val="left"/>
      <w:pPr>
        <w:ind w:left="3646"/>
      </w:pPr>
      <w:rPr>
        <w:rFonts w:ascii="Calibri" w:eastAsia="Times New Roman" w:hAnsi="Calibri" w:cs="Calibri"/>
        <w:b/>
        <w:bCs/>
        <w:i w:val="0"/>
        <w:strike w:val="0"/>
        <w:dstrike w:val="0"/>
        <w:color w:val="000000"/>
        <w:sz w:val="22"/>
        <w:szCs w:val="22"/>
        <w:u w:val="none" w:color="000000"/>
        <w:vertAlign w:val="baseline"/>
      </w:rPr>
    </w:lvl>
    <w:lvl w:ilvl="5" w:tplc="FFFFFFFF">
      <w:start w:val="1"/>
      <w:numFmt w:val="lowerRoman"/>
      <w:lvlText w:val="%6"/>
      <w:lvlJc w:val="left"/>
      <w:pPr>
        <w:ind w:left="4366"/>
      </w:pPr>
      <w:rPr>
        <w:rFonts w:ascii="Calibri" w:eastAsia="Times New Roman" w:hAnsi="Calibri" w:cs="Calibri"/>
        <w:b/>
        <w:bCs/>
        <w:i w:val="0"/>
        <w:strike w:val="0"/>
        <w:dstrike w:val="0"/>
        <w:color w:val="000000"/>
        <w:sz w:val="22"/>
        <w:szCs w:val="22"/>
        <w:u w:val="none" w:color="000000"/>
        <w:vertAlign w:val="baseline"/>
      </w:rPr>
    </w:lvl>
    <w:lvl w:ilvl="6" w:tplc="FFFFFFFF">
      <w:start w:val="1"/>
      <w:numFmt w:val="decimal"/>
      <w:lvlText w:val="%7"/>
      <w:lvlJc w:val="left"/>
      <w:pPr>
        <w:ind w:left="5086"/>
      </w:pPr>
      <w:rPr>
        <w:rFonts w:ascii="Calibri" w:eastAsia="Times New Roman" w:hAnsi="Calibri" w:cs="Calibri"/>
        <w:b/>
        <w:bCs/>
        <w:i w:val="0"/>
        <w:strike w:val="0"/>
        <w:dstrike w:val="0"/>
        <w:color w:val="000000"/>
        <w:sz w:val="22"/>
        <w:szCs w:val="22"/>
        <w:u w:val="none" w:color="000000"/>
        <w:vertAlign w:val="baseline"/>
      </w:rPr>
    </w:lvl>
    <w:lvl w:ilvl="7" w:tplc="FFFFFFFF">
      <w:start w:val="1"/>
      <w:numFmt w:val="lowerLetter"/>
      <w:lvlText w:val="%8"/>
      <w:lvlJc w:val="left"/>
      <w:pPr>
        <w:ind w:left="5806"/>
      </w:pPr>
      <w:rPr>
        <w:rFonts w:ascii="Calibri" w:eastAsia="Times New Roman" w:hAnsi="Calibri" w:cs="Calibri"/>
        <w:b/>
        <w:bCs/>
        <w:i w:val="0"/>
        <w:strike w:val="0"/>
        <w:dstrike w:val="0"/>
        <w:color w:val="000000"/>
        <w:sz w:val="22"/>
        <w:szCs w:val="22"/>
        <w:u w:val="none" w:color="000000"/>
        <w:vertAlign w:val="baseline"/>
      </w:rPr>
    </w:lvl>
    <w:lvl w:ilvl="8" w:tplc="FFFFFFFF">
      <w:start w:val="1"/>
      <w:numFmt w:val="lowerRoman"/>
      <w:lvlText w:val="%9"/>
      <w:lvlJc w:val="left"/>
      <w:pPr>
        <w:ind w:left="6526"/>
      </w:pPr>
      <w:rPr>
        <w:rFonts w:ascii="Calibri" w:eastAsia="Times New Roman" w:hAnsi="Calibri" w:cs="Calibri"/>
        <w:b/>
        <w:bCs/>
        <w:i w:val="0"/>
        <w:strike w:val="0"/>
        <w:dstrike w:val="0"/>
        <w:color w:val="000000"/>
        <w:sz w:val="22"/>
        <w:szCs w:val="22"/>
        <w:u w:val="none" w:color="000000"/>
        <w:vertAlign w:val="baseline"/>
      </w:rPr>
    </w:lvl>
  </w:abstractNum>
  <w:abstractNum w:abstractNumId="4" w15:restartNumberingAfterBreak="0">
    <w:nsid w:val="487751E1"/>
    <w:multiLevelType w:val="hybridMultilevel"/>
    <w:tmpl w:val="E6CA8EF8"/>
    <w:lvl w:ilvl="0" w:tplc="560EB830">
      <w:numFmt w:val="bullet"/>
      <w:lvlText w:val=""/>
      <w:lvlJc w:val="left"/>
      <w:pPr>
        <w:ind w:left="768" w:hanging="360"/>
      </w:pPr>
      <w:rPr>
        <w:rFonts w:ascii="Wingdings" w:eastAsia="Wingdings" w:hAnsi="Wingdings" w:cs="Wingdings" w:hint="default"/>
        <w:b w:val="0"/>
        <w:bCs w:val="0"/>
        <w:i w:val="0"/>
        <w:iCs w:val="0"/>
        <w:spacing w:val="0"/>
        <w:w w:val="100"/>
        <w:sz w:val="22"/>
        <w:szCs w:val="22"/>
        <w:lang w:val="el-GR" w:eastAsia="en-US" w:bidi="ar-S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48A657E4"/>
    <w:multiLevelType w:val="hybridMultilevel"/>
    <w:tmpl w:val="2B723C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A6C31C4"/>
    <w:multiLevelType w:val="hybridMultilevel"/>
    <w:tmpl w:val="AE600CF6"/>
    <w:lvl w:ilvl="0" w:tplc="33443E60">
      <w:start w:val="1"/>
      <w:numFmt w:val="decimal"/>
      <w:lvlText w:val="%1."/>
      <w:lvlJc w:val="left"/>
      <w:pPr>
        <w:ind w:left="792"/>
      </w:pPr>
      <w:rPr>
        <w:rFonts w:hint="default"/>
        <w:b/>
        <w:bCs/>
        <w:i w:val="0"/>
        <w:strike w:val="0"/>
        <w:dstrike w:val="0"/>
        <w:color w:val="000000"/>
        <w:sz w:val="20"/>
        <w:szCs w:val="20"/>
        <w:u w:val="none" w:color="000000"/>
        <w:vertAlign w:val="baseline"/>
      </w:rPr>
    </w:lvl>
    <w:lvl w:ilvl="1" w:tplc="FFFFFFFF">
      <w:start w:val="1"/>
      <w:numFmt w:val="lowerLetter"/>
      <w:lvlText w:val="%2"/>
      <w:lvlJc w:val="left"/>
      <w:pPr>
        <w:ind w:left="1486"/>
      </w:pPr>
      <w:rPr>
        <w:rFonts w:ascii="Calibri" w:eastAsia="Times New Roman" w:hAnsi="Calibri" w:cs="Calibri"/>
        <w:b/>
        <w:bCs/>
        <w:i w:val="0"/>
        <w:strike w:val="0"/>
        <w:dstrike w:val="0"/>
        <w:color w:val="000000"/>
        <w:sz w:val="22"/>
        <w:szCs w:val="22"/>
        <w:u w:val="none" w:color="000000"/>
        <w:vertAlign w:val="baseline"/>
      </w:rPr>
    </w:lvl>
    <w:lvl w:ilvl="2" w:tplc="FFFFFFFF">
      <w:start w:val="1"/>
      <w:numFmt w:val="lowerRoman"/>
      <w:lvlText w:val="%3"/>
      <w:lvlJc w:val="left"/>
      <w:pPr>
        <w:ind w:left="2206"/>
      </w:pPr>
      <w:rPr>
        <w:rFonts w:ascii="Calibri" w:eastAsia="Times New Roman" w:hAnsi="Calibri" w:cs="Calibri"/>
        <w:b/>
        <w:bCs/>
        <w:i w:val="0"/>
        <w:strike w:val="0"/>
        <w:dstrike w:val="0"/>
        <w:color w:val="000000"/>
        <w:sz w:val="22"/>
        <w:szCs w:val="22"/>
        <w:u w:val="none" w:color="000000"/>
        <w:vertAlign w:val="baseline"/>
      </w:rPr>
    </w:lvl>
    <w:lvl w:ilvl="3" w:tplc="FFFFFFFF">
      <w:start w:val="1"/>
      <w:numFmt w:val="decimal"/>
      <w:lvlText w:val="%4"/>
      <w:lvlJc w:val="left"/>
      <w:pPr>
        <w:ind w:left="2926"/>
      </w:pPr>
      <w:rPr>
        <w:rFonts w:ascii="Calibri" w:eastAsia="Times New Roman" w:hAnsi="Calibri" w:cs="Calibri"/>
        <w:b/>
        <w:bCs/>
        <w:i w:val="0"/>
        <w:strike w:val="0"/>
        <w:dstrike w:val="0"/>
        <w:color w:val="000000"/>
        <w:sz w:val="22"/>
        <w:szCs w:val="22"/>
        <w:u w:val="none" w:color="000000"/>
        <w:vertAlign w:val="baseline"/>
      </w:rPr>
    </w:lvl>
    <w:lvl w:ilvl="4" w:tplc="FFFFFFFF">
      <w:start w:val="1"/>
      <w:numFmt w:val="lowerLetter"/>
      <w:lvlText w:val="%5"/>
      <w:lvlJc w:val="left"/>
      <w:pPr>
        <w:ind w:left="3646"/>
      </w:pPr>
      <w:rPr>
        <w:rFonts w:ascii="Calibri" w:eastAsia="Times New Roman" w:hAnsi="Calibri" w:cs="Calibri"/>
        <w:b/>
        <w:bCs/>
        <w:i w:val="0"/>
        <w:strike w:val="0"/>
        <w:dstrike w:val="0"/>
        <w:color w:val="000000"/>
        <w:sz w:val="22"/>
        <w:szCs w:val="22"/>
        <w:u w:val="none" w:color="000000"/>
        <w:vertAlign w:val="baseline"/>
      </w:rPr>
    </w:lvl>
    <w:lvl w:ilvl="5" w:tplc="FFFFFFFF">
      <w:start w:val="1"/>
      <w:numFmt w:val="lowerRoman"/>
      <w:lvlText w:val="%6"/>
      <w:lvlJc w:val="left"/>
      <w:pPr>
        <w:ind w:left="4366"/>
      </w:pPr>
      <w:rPr>
        <w:rFonts w:ascii="Calibri" w:eastAsia="Times New Roman" w:hAnsi="Calibri" w:cs="Calibri"/>
        <w:b/>
        <w:bCs/>
        <w:i w:val="0"/>
        <w:strike w:val="0"/>
        <w:dstrike w:val="0"/>
        <w:color w:val="000000"/>
        <w:sz w:val="22"/>
        <w:szCs w:val="22"/>
        <w:u w:val="none" w:color="000000"/>
        <w:vertAlign w:val="baseline"/>
      </w:rPr>
    </w:lvl>
    <w:lvl w:ilvl="6" w:tplc="FFFFFFFF">
      <w:start w:val="1"/>
      <w:numFmt w:val="decimal"/>
      <w:lvlText w:val="%7"/>
      <w:lvlJc w:val="left"/>
      <w:pPr>
        <w:ind w:left="5086"/>
      </w:pPr>
      <w:rPr>
        <w:rFonts w:ascii="Calibri" w:eastAsia="Times New Roman" w:hAnsi="Calibri" w:cs="Calibri"/>
        <w:b/>
        <w:bCs/>
        <w:i w:val="0"/>
        <w:strike w:val="0"/>
        <w:dstrike w:val="0"/>
        <w:color w:val="000000"/>
        <w:sz w:val="22"/>
        <w:szCs w:val="22"/>
        <w:u w:val="none" w:color="000000"/>
        <w:vertAlign w:val="baseline"/>
      </w:rPr>
    </w:lvl>
    <w:lvl w:ilvl="7" w:tplc="FFFFFFFF">
      <w:start w:val="1"/>
      <w:numFmt w:val="lowerLetter"/>
      <w:lvlText w:val="%8"/>
      <w:lvlJc w:val="left"/>
      <w:pPr>
        <w:ind w:left="5806"/>
      </w:pPr>
      <w:rPr>
        <w:rFonts w:ascii="Calibri" w:eastAsia="Times New Roman" w:hAnsi="Calibri" w:cs="Calibri"/>
        <w:b/>
        <w:bCs/>
        <w:i w:val="0"/>
        <w:strike w:val="0"/>
        <w:dstrike w:val="0"/>
        <w:color w:val="000000"/>
        <w:sz w:val="22"/>
        <w:szCs w:val="22"/>
        <w:u w:val="none" w:color="000000"/>
        <w:vertAlign w:val="baseline"/>
      </w:rPr>
    </w:lvl>
    <w:lvl w:ilvl="8" w:tplc="FFFFFFFF">
      <w:start w:val="1"/>
      <w:numFmt w:val="lowerRoman"/>
      <w:lvlText w:val="%9"/>
      <w:lvlJc w:val="left"/>
      <w:pPr>
        <w:ind w:left="6526"/>
      </w:pPr>
      <w:rPr>
        <w:rFonts w:ascii="Calibri" w:eastAsia="Times New Roman" w:hAnsi="Calibri" w:cs="Calibri"/>
        <w:b/>
        <w:bCs/>
        <w:i w:val="0"/>
        <w:strike w:val="0"/>
        <w:dstrike w:val="0"/>
        <w:color w:val="000000"/>
        <w:sz w:val="22"/>
        <w:szCs w:val="22"/>
        <w:u w:val="none" w:color="000000"/>
        <w:vertAlign w:val="baseline"/>
      </w:rPr>
    </w:lvl>
  </w:abstractNum>
  <w:abstractNum w:abstractNumId="7" w15:restartNumberingAfterBreak="0">
    <w:nsid w:val="675B5D1E"/>
    <w:multiLevelType w:val="hybridMultilevel"/>
    <w:tmpl w:val="FCD8A648"/>
    <w:lvl w:ilvl="0" w:tplc="44A8733A">
      <w:start w:val="1"/>
      <w:numFmt w:val="decimal"/>
      <w:lvlText w:val="%1."/>
      <w:lvlJc w:val="left"/>
      <w:pPr>
        <w:ind w:left="792"/>
      </w:pPr>
      <w:rPr>
        <w:rFonts w:hint="default"/>
        <w:b/>
        <w:bCs/>
        <w:i w:val="0"/>
        <w:strike w:val="0"/>
        <w:dstrike w:val="0"/>
        <w:color w:val="000000"/>
        <w:sz w:val="20"/>
        <w:szCs w:val="20"/>
        <w:u w:val="none" w:color="000000"/>
        <w:vertAlign w:val="baseline"/>
      </w:rPr>
    </w:lvl>
    <w:lvl w:ilvl="1" w:tplc="7FFAFE86">
      <w:start w:val="1"/>
      <w:numFmt w:val="lowerLetter"/>
      <w:lvlText w:val="%2"/>
      <w:lvlJc w:val="left"/>
      <w:pPr>
        <w:ind w:left="1486"/>
      </w:pPr>
      <w:rPr>
        <w:rFonts w:ascii="Calibri" w:eastAsia="Times New Roman" w:hAnsi="Calibri" w:cs="Calibri"/>
        <w:b/>
        <w:bCs/>
        <w:i w:val="0"/>
        <w:strike w:val="0"/>
        <w:dstrike w:val="0"/>
        <w:color w:val="000000"/>
        <w:sz w:val="22"/>
        <w:szCs w:val="22"/>
        <w:u w:val="none" w:color="000000"/>
        <w:vertAlign w:val="baseline"/>
      </w:rPr>
    </w:lvl>
    <w:lvl w:ilvl="2" w:tplc="F9E8CA5A">
      <w:start w:val="1"/>
      <w:numFmt w:val="lowerRoman"/>
      <w:lvlText w:val="%3"/>
      <w:lvlJc w:val="left"/>
      <w:pPr>
        <w:ind w:left="2206"/>
      </w:pPr>
      <w:rPr>
        <w:rFonts w:ascii="Calibri" w:eastAsia="Times New Roman" w:hAnsi="Calibri" w:cs="Calibri"/>
        <w:b/>
        <w:bCs/>
        <w:i w:val="0"/>
        <w:strike w:val="0"/>
        <w:dstrike w:val="0"/>
        <w:color w:val="000000"/>
        <w:sz w:val="22"/>
        <w:szCs w:val="22"/>
        <w:u w:val="none" w:color="000000"/>
        <w:vertAlign w:val="baseline"/>
      </w:rPr>
    </w:lvl>
    <w:lvl w:ilvl="3" w:tplc="972284DE">
      <w:start w:val="1"/>
      <w:numFmt w:val="decimal"/>
      <w:lvlText w:val="%4"/>
      <w:lvlJc w:val="left"/>
      <w:pPr>
        <w:ind w:left="2926"/>
      </w:pPr>
      <w:rPr>
        <w:rFonts w:ascii="Calibri" w:eastAsia="Times New Roman" w:hAnsi="Calibri" w:cs="Calibri"/>
        <w:b/>
        <w:bCs/>
        <w:i w:val="0"/>
        <w:strike w:val="0"/>
        <w:dstrike w:val="0"/>
        <w:color w:val="000000"/>
        <w:sz w:val="22"/>
        <w:szCs w:val="22"/>
        <w:u w:val="none" w:color="000000"/>
        <w:vertAlign w:val="baseline"/>
      </w:rPr>
    </w:lvl>
    <w:lvl w:ilvl="4" w:tplc="D0AC0C3A">
      <w:start w:val="1"/>
      <w:numFmt w:val="lowerLetter"/>
      <w:lvlText w:val="%5"/>
      <w:lvlJc w:val="left"/>
      <w:pPr>
        <w:ind w:left="3646"/>
      </w:pPr>
      <w:rPr>
        <w:rFonts w:ascii="Calibri" w:eastAsia="Times New Roman" w:hAnsi="Calibri" w:cs="Calibri"/>
        <w:b/>
        <w:bCs/>
        <w:i w:val="0"/>
        <w:strike w:val="0"/>
        <w:dstrike w:val="0"/>
        <w:color w:val="000000"/>
        <w:sz w:val="22"/>
        <w:szCs w:val="22"/>
        <w:u w:val="none" w:color="000000"/>
        <w:vertAlign w:val="baseline"/>
      </w:rPr>
    </w:lvl>
    <w:lvl w:ilvl="5" w:tplc="5F441390">
      <w:start w:val="1"/>
      <w:numFmt w:val="lowerRoman"/>
      <w:lvlText w:val="%6"/>
      <w:lvlJc w:val="left"/>
      <w:pPr>
        <w:ind w:left="4366"/>
      </w:pPr>
      <w:rPr>
        <w:rFonts w:ascii="Calibri" w:eastAsia="Times New Roman" w:hAnsi="Calibri" w:cs="Calibri"/>
        <w:b/>
        <w:bCs/>
        <w:i w:val="0"/>
        <w:strike w:val="0"/>
        <w:dstrike w:val="0"/>
        <w:color w:val="000000"/>
        <w:sz w:val="22"/>
        <w:szCs w:val="22"/>
        <w:u w:val="none" w:color="000000"/>
        <w:vertAlign w:val="baseline"/>
      </w:rPr>
    </w:lvl>
    <w:lvl w:ilvl="6" w:tplc="FDB0D1A8">
      <w:start w:val="1"/>
      <w:numFmt w:val="decimal"/>
      <w:lvlText w:val="%7"/>
      <w:lvlJc w:val="left"/>
      <w:pPr>
        <w:ind w:left="5086"/>
      </w:pPr>
      <w:rPr>
        <w:rFonts w:ascii="Calibri" w:eastAsia="Times New Roman" w:hAnsi="Calibri" w:cs="Calibri"/>
        <w:b/>
        <w:bCs/>
        <w:i w:val="0"/>
        <w:strike w:val="0"/>
        <w:dstrike w:val="0"/>
        <w:color w:val="000000"/>
        <w:sz w:val="22"/>
        <w:szCs w:val="22"/>
        <w:u w:val="none" w:color="000000"/>
        <w:vertAlign w:val="baseline"/>
      </w:rPr>
    </w:lvl>
    <w:lvl w:ilvl="7" w:tplc="CBCCC500">
      <w:start w:val="1"/>
      <w:numFmt w:val="lowerLetter"/>
      <w:lvlText w:val="%8"/>
      <w:lvlJc w:val="left"/>
      <w:pPr>
        <w:ind w:left="5806"/>
      </w:pPr>
      <w:rPr>
        <w:rFonts w:ascii="Calibri" w:eastAsia="Times New Roman" w:hAnsi="Calibri" w:cs="Calibri"/>
        <w:b/>
        <w:bCs/>
        <w:i w:val="0"/>
        <w:strike w:val="0"/>
        <w:dstrike w:val="0"/>
        <w:color w:val="000000"/>
        <w:sz w:val="22"/>
        <w:szCs w:val="22"/>
        <w:u w:val="none" w:color="000000"/>
        <w:vertAlign w:val="baseline"/>
      </w:rPr>
    </w:lvl>
    <w:lvl w:ilvl="8" w:tplc="0F72CEE2">
      <w:start w:val="1"/>
      <w:numFmt w:val="lowerRoman"/>
      <w:lvlText w:val="%9"/>
      <w:lvlJc w:val="left"/>
      <w:pPr>
        <w:ind w:left="6526"/>
      </w:pPr>
      <w:rPr>
        <w:rFonts w:ascii="Calibri" w:eastAsia="Times New Roman" w:hAnsi="Calibri" w:cs="Calibri"/>
        <w:b/>
        <w:bCs/>
        <w:i w:val="0"/>
        <w:strike w:val="0"/>
        <w:dstrike w:val="0"/>
        <w:color w:val="000000"/>
        <w:sz w:val="22"/>
        <w:szCs w:val="22"/>
        <w:u w:val="none" w:color="000000"/>
        <w:vertAlign w:val="baseline"/>
      </w:rPr>
    </w:lvl>
  </w:abstractNum>
  <w:num w:numId="1" w16cid:durableId="1422945039">
    <w:abstractNumId w:val="7"/>
  </w:num>
  <w:num w:numId="2" w16cid:durableId="59795294">
    <w:abstractNumId w:val="1"/>
  </w:num>
  <w:num w:numId="3" w16cid:durableId="1042481735">
    <w:abstractNumId w:val="6"/>
  </w:num>
  <w:num w:numId="4" w16cid:durableId="276303328">
    <w:abstractNumId w:val="0"/>
  </w:num>
  <w:num w:numId="5" w16cid:durableId="428350898">
    <w:abstractNumId w:val="5"/>
  </w:num>
  <w:num w:numId="6" w16cid:durableId="1184442687">
    <w:abstractNumId w:val="3"/>
  </w:num>
  <w:num w:numId="7" w16cid:durableId="875384555">
    <w:abstractNumId w:val="2"/>
  </w:num>
  <w:num w:numId="8" w16cid:durableId="274562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20"/>
    <w:rsid w:val="00107020"/>
    <w:rsid w:val="001739E0"/>
    <w:rsid w:val="004D58F0"/>
    <w:rsid w:val="00AA6E0E"/>
    <w:rsid w:val="00CA04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1A04"/>
  <w15:chartTrackingRefBased/>
  <w15:docId w15:val="{3BBE1E6B-B8B7-43EF-BEF3-14338CB2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9E0"/>
    <w:pPr>
      <w:spacing w:before="120" w:after="120" w:line="320" w:lineRule="atLeast"/>
      <w:jc w:val="both"/>
    </w:pPr>
    <w:rPr>
      <w:rFonts w:ascii="Verdana" w:eastAsia="Times New Roman" w:hAnsi="Verdana" w:cs="Times New Roman"/>
      <w:kern w:val="0"/>
      <w:sz w:val="20"/>
      <w:szCs w:val="24"/>
      <w:lang w:val="en-US"/>
      <w14:ligatures w14:val="none"/>
    </w:rPr>
  </w:style>
  <w:style w:type="paragraph" w:styleId="Heading1">
    <w:name w:val="heading 1"/>
    <w:basedOn w:val="Normal"/>
    <w:next w:val="Normal"/>
    <w:link w:val="Heading1Char"/>
    <w:uiPriority w:val="9"/>
    <w:qFormat/>
    <w:rsid w:val="00107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07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07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020"/>
    <w:rPr>
      <w:rFonts w:eastAsiaTheme="majorEastAsia" w:cstheme="majorBidi"/>
      <w:color w:val="272727" w:themeColor="text1" w:themeTint="D8"/>
    </w:rPr>
  </w:style>
  <w:style w:type="paragraph" w:styleId="Title">
    <w:name w:val="Title"/>
    <w:basedOn w:val="Normal"/>
    <w:next w:val="Normal"/>
    <w:link w:val="TitleChar"/>
    <w:uiPriority w:val="10"/>
    <w:qFormat/>
    <w:rsid w:val="00107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020"/>
    <w:pPr>
      <w:spacing w:before="160"/>
      <w:jc w:val="center"/>
    </w:pPr>
    <w:rPr>
      <w:i/>
      <w:iCs/>
      <w:color w:val="404040" w:themeColor="text1" w:themeTint="BF"/>
    </w:rPr>
  </w:style>
  <w:style w:type="character" w:customStyle="1" w:styleId="QuoteChar">
    <w:name w:val="Quote Char"/>
    <w:basedOn w:val="DefaultParagraphFont"/>
    <w:link w:val="Quote"/>
    <w:uiPriority w:val="29"/>
    <w:rsid w:val="00107020"/>
    <w:rPr>
      <w:i/>
      <w:iCs/>
      <w:color w:val="404040" w:themeColor="text1" w:themeTint="BF"/>
    </w:rPr>
  </w:style>
  <w:style w:type="paragraph" w:styleId="ListParagraph">
    <w:name w:val="List Paragraph"/>
    <w:aliases w:val="Liste à puces retrait droite,BULLETS,List Paragraph1,Γράφημα,ÃñÜöçìá,AnUocia,Bullet2,Bullet21,Bullet22,Bullet23,Bullet211,Bullet24,Bullet25,Bullet26,Bullet27,bl11,Bullet212,Bullet28,bl12,Bullet213,Bullet29,bl13,Bullet214,Bullet210"/>
    <w:basedOn w:val="Normal"/>
    <w:link w:val="ListParagraphChar"/>
    <w:uiPriority w:val="34"/>
    <w:qFormat/>
    <w:rsid w:val="00107020"/>
    <w:pPr>
      <w:ind w:left="720"/>
      <w:contextualSpacing/>
    </w:pPr>
  </w:style>
  <w:style w:type="character" w:styleId="IntenseEmphasis">
    <w:name w:val="Intense Emphasis"/>
    <w:basedOn w:val="DefaultParagraphFont"/>
    <w:uiPriority w:val="21"/>
    <w:qFormat/>
    <w:rsid w:val="00107020"/>
    <w:rPr>
      <w:i/>
      <w:iCs/>
      <w:color w:val="0F4761" w:themeColor="accent1" w:themeShade="BF"/>
    </w:rPr>
  </w:style>
  <w:style w:type="paragraph" w:styleId="IntenseQuote">
    <w:name w:val="Intense Quote"/>
    <w:basedOn w:val="Normal"/>
    <w:next w:val="Normal"/>
    <w:link w:val="IntenseQuoteChar"/>
    <w:uiPriority w:val="30"/>
    <w:qFormat/>
    <w:rsid w:val="00107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020"/>
    <w:rPr>
      <w:i/>
      <w:iCs/>
      <w:color w:val="0F4761" w:themeColor="accent1" w:themeShade="BF"/>
    </w:rPr>
  </w:style>
  <w:style w:type="character" w:styleId="IntenseReference">
    <w:name w:val="Intense Reference"/>
    <w:basedOn w:val="DefaultParagraphFont"/>
    <w:uiPriority w:val="32"/>
    <w:qFormat/>
    <w:rsid w:val="00107020"/>
    <w:rPr>
      <w:b/>
      <w:bCs/>
      <w:smallCaps/>
      <w:color w:val="0F4761" w:themeColor="accent1" w:themeShade="BF"/>
      <w:spacing w:val="5"/>
    </w:rPr>
  </w:style>
  <w:style w:type="character" w:customStyle="1" w:styleId="ListParagraphChar">
    <w:name w:val="List Paragraph Char"/>
    <w:aliases w:val="Liste à puces retrait droite Char,BULLETS Char,List Paragraph1 Char,Γράφημα Char,ÃñÜöçìá Char,AnUocia Char,Bullet2 Char,Bullet21 Char,Bullet22 Char,Bullet23 Char,Bullet211 Char,Bullet24 Char,Bullet25 Char,Bullet26 Char,Bullet27 Char"/>
    <w:link w:val="ListParagraph"/>
    <w:uiPriority w:val="34"/>
    <w:qFormat/>
    <w:locked/>
    <w:rsid w:val="001739E0"/>
  </w:style>
  <w:style w:type="paragraph" w:styleId="Header">
    <w:name w:val="header"/>
    <w:basedOn w:val="Normal"/>
    <w:link w:val="HeaderChar"/>
    <w:uiPriority w:val="99"/>
    <w:unhideWhenUsed/>
    <w:rsid w:val="001739E0"/>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1739E0"/>
    <w:rPr>
      <w:rFonts w:ascii="Verdana" w:eastAsia="Times New Roman" w:hAnsi="Verdana" w:cs="Times New Roman"/>
      <w:kern w:val="0"/>
      <w:sz w:val="20"/>
      <w:szCs w:val="24"/>
      <w:lang w:val="en-US"/>
      <w14:ligatures w14:val="none"/>
    </w:rPr>
  </w:style>
  <w:style w:type="paragraph" w:styleId="Footer">
    <w:name w:val="footer"/>
    <w:basedOn w:val="Normal"/>
    <w:link w:val="FooterChar"/>
    <w:uiPriority w:val="99"/>
    <w:unhideWhenUsed/>
    <w:rsid w:val="001739E0"/>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1739E0"/>
    <w:rPr>
      <w:rFonts w:ascii="Verdana" w:eastAsia="Times New Roman" w:hAnsi="Verdana"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6796</Characters>
  <Application>Microsoft Office Word</Application>
  <DocSecurity>0</DocSecurity>
  <Lines>56</Lines>
  <Paragraphs>16</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Θεοδώρου Γεώργιος</dc:creator>
  <cp:keywords/>
  <dc:description/>
  <cp:lastModifiedBy>Θεοδώρου Γεώργιος</cp:lastModifiedBy>
  <cp:revision>2</cp:revision>
  <dcterms:created xsi:type="dcterms:W3CDTF">2026-03-10T14:03:00Z</dcterms:created>
  <dcterms:modified xsi:type="dcterms:W3CDTF">2026-03-10T14:06:00Z</dcterms:modified>
</cp:coreProperties>
</file>