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3850" w14:textId="77777777" w:rsidR="001D7F47" w:rsidRPr="001D7F47" w:rsidRDefault="001D7F47" w:rsidP="001D7F47">
      <w:pPr>
        <w:pStyle w:val="Heading2"/>
        <w:rPr>
          <w:lang w:val="el-GR"/>
        </w:rPr>
      </w:pPr>
      <w:bookmarkStart w:id="0" w:name="_Hlk151980173"/>
      <w:bookmarkStart w:id="1" w:name="_Toc192610998"/>
      <w:r w:rsidRPr="001D7F47">
        <w:rPr>
          <w:lang w:val="el-GR"/>
        </w:rPr>
        <w:t xml:space="preserve">ΠΑΡΑΡΤΗΜΑ </w:t>
      </w:r>
      <w:r w:rsidRPr="006937D9">
        <w:t>X</w:t>
      </w:r>
      <w:r w:rsidRPr="001D7F47">
        <w:rPr>
          <w:lang w:val="el-GR"/>
        </w:rPr>
        <w:t>Ι</w:t>
      </w:r>
      <w:bookmarkEnd w:id="0"/>
      <w:r w:rsidRPr="006937D9">
        <w:t>I</w:t>
      </w:r>
      <w:r w:rsidRPr="001D7F47">
        <w:rPr>
          <w:lang w:val="el-GR"/>
        </w:rPr>
        <w:t>: ΑΥΞΗΣΗ ΑΠΑΣΧΟΛΗΣΗΣ – ΕΛΕΓΧΟΣ ΚΑΤΑ ΤΗΝ ΤΕΛΙΚΗ ΠΙΣΤΟΠΟΙΗΣΗ / ΕΛΕΓΧΟΣ ΤΗΡΗΣΗΣ ΜΑΚΡΟΧΡΟΝΙΩΝ ΥΠΟΧΡΕΩΣΕΩΝ</w:t>
      </w:r>
      <w:bookmarkEnd w:id="1"/>
    </w:p>
    <w:p w14:paraId="2C0A4D19" w14:textId="77777777" w:rsidR="001D7F47" w:rsidRPr="00ED4FD5" w:rsidRDefault="001D7F47" w:rsidP="001D7F47">
      <w:pPr>
        <w:spacing w:after="83" w:line="287" w:lineRule="auto"/>
        <w:ind w:left="577"/>
        <w:rPr>
          <w:rFonts w:asciiTheme="minorHAnsi" w:hAnsiTheme="minorHAnsi" w:cstheme="minorHAnsi"/>
          <w:sz w:val="22"/>
          <w:szCs w:val="22"/>
          <w:lang w:val="el-GR"/>
        </w:rPr>
      </w:pPr>
      <w:r w:rsidRPr="00ED4FD5">
        <w:rPr>
          <w:rFonts w:asciiTheme="minorHAnsi" w:hAnsiTheme="minorHAnsi" w:cstheme="minorHAnsi"/>
          <w:sz w:val="22"/>
          <w:szCs w:val="22"/>
          <w:lang w:val="el-GR"/>
        </w:rPr>
        <w:t>Η διατήρηση και η αύξηση της απασχόλησης στις περιοχές Εδαφικών Σχεδίων Δίκαιης Μετάβασης αποτελεί πρωταρχικό στόχο για το ΤΔΜ και κατ΄ επέκταση της παρούσας δράσης. Ως εκ τούτου έχουν προβλεφθεί όροι, προϋποθέσεις και διαδικασίες επιβεβαίωσης των οποίων η τήρηση διασφαλίζει την συνεισφορά της δράσης στην επίτευξη του εν λόγω στόχου.</w:t>
      </w:r>
    </w:p>
    <w:p w14:paraId="223C9179" w14:textId="77777777" w:rsidR="001D7F47" w:rsidRPr="00ED4FD5" w:rsidRDefault="001D7F47" w:rsidP="001D7F47">
      <w:pPr>
        <w:spacing w:after="83" w:line="287" w:lineRule="auto"/>
        <w:ind w:left="577"/>
        <w:rPr>
          <w:rFonts w:asciiTheme="minorHAnsi" w:hAnsiTheme="minorHAnsi" w:cstheme="minorHAnsi"/>
          <w:sz w:val="22"/>
          <w:szCs w:val="22"/>
        </w:rPr>
      </w:pPr>
      <w:r w:rsidRPr="00ED4FD5">
        <w:rPr>
          <w:rFonts w:asciiTheme="minorHAnsi" w:hAnsiTheme="minorHAnsi" w:cstheme="minorHAnsi"/>
          <w:sz w:val="22"/>
          <w:szCs w:val="22"/>
        </w:rPr>
        <w:t>Αναλυτικά:</w:t>
      </w:r>
    </w:p>
    <w:p w14:paraId="08A59D30" w14:textId="77777777" w:rsidR="001D7F47" w:rsidRPr="00ED4FD5" w:rsidRDefault="001D7F47" w:rsidP="001D7F47">
      <w:pPr>
        <w:pStyle w:val="ListParagraph"/>
        <w:numPr>
          <w:ilvl w:val="0"/>
          <w:numId w:val="2"/>
        </w:numPr>
        <w:spacing w:before="0" w:after="83" w:line="287"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Τυπική προϋπόθεση συμμετοχής αποτελεί η δέσμευση της αιτούσας για αύξηση της απασχόλησης κατά τουλάχιστον μισή Ε.Μ.Ε.</w:t>
      </w:r>
    </w:p>
    <w:p w14:paraId="548BDFD3" w14:textId="77777777" w:rsidR="001D7F47" w:rsidRPr="00ED4FD5" w:rsidRDefault="001D7F47" w:rsidP="001D7F47">
      <w:pPr>
        <w:pStyle w:val="ListParagraph"/>
        <w:numPr>
          <w:ilvl w:val="0"/>
          <w:numId w:val="2"/>
        </w:numPr>
        <w:spacing w:before="0" w:after="83" w:line="287"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 xml:space="preserve">Βαθμολογικό αναλογικό κριτήριο με σημαντική «συνεισφορά» στην τελική βαθμολογία, αποτελεί η δήλωση/δέσμευση της αιτούσας για αύξηση της απασχόλησης (πέραν της </w:t>
      </w:r>
      <w:r>
        <w:rPr>
          <w:rFonts w:asciiTheme="minorHAnsi" w:hAnsiTheme="minorHAnsi" w:cstheme="minorHAnsi"/>
          <w:sz w:val="22"/>
          <w:szCs w:val="22"/>
          <w:lang w:val="el-GR"/>
        </w:rPr>
        <w:t>μισής</w:t>
      </w:r>
      <w:r w:rsidRPr="00ED4FD5">
        <w:rPr>
          <w:rFonts w:asciiTheme="minorHAnsi" w:hAnsiTheme="minorHAnsi" w:cstheme="minorHAnsi"/>
          <w:sz w:val="22"/>
          <w:szCs w:val="22"/>
          <w:lang w:val="el-GR"/>
        </w:rPr>
        <w:t xml:space="preserve"> Ε.Μ.Ε. που αποτελεί τυπική προϋπόθεση).</w:t>
      </w:r>
    </w:p>
    <w:p w14:paraId="151693FF" w14:textId="77777777" w:rsidR="001D7F47" w:rsidRPr="00ED4FD5" w:rsidRDefault="001D7F47" w:rsidP="001D7F47">
      <w:pPr>
        <w:pStyle w:val="ListParagraph"/>
        <w:numPr>
          <w:ilvl w:val="0"/>
          <w:numId w:val="2"/>
        </w:numPr>
        <w:spacing w:before="0" w:after="83" w:line="287"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Η υποχρέωση της επιχείρησης σχετικά με την αύξηση της απασχόλησης δεν περιορίζεται μόνο στην δημιουργία θέσεων εργασίας κατά την υλοποίηση, αλλά συμπεριλαμβάνει και την διατήρηση της αύξησης  αυτής, με παράλληλη διατήρηση των υφιστάμενων θέσεων απασχόλησης της επιχείρησης, του έτους βάσης (2024), για δώδεκα μήνες μετά την πιστοποίηση της ολοκλήρωσης της επένδυσης.</w:t>
      </w:r>
    </w:p>
    <w:p w14:paraId="1E385828" w14:textId="77777777" w:rsidR="001D7F47" w:rsidRPr="00ED4FD5" w:rsidRDefault="001D7F47" w:rsidP="001D7F47">
      <w:pPr>
        <w:pStyle w:val="ListParagraph"/>
        <w:numPr>
          <w:ilvl w:val="0"/>
          <w:numId w:val="2"/>
        </w:numPr>
        <w:spacing w:before="0" w:after="83" w:line="287"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Η αύξηση της απασχόλησης θα πρέπει να λάβει χώρα στον τόπο υλοποίησης της επένδυσης, ήτοι να αφορά εργαζόμενους που αποτυπώνονται στο (εν ισχύ) εβδομαδιαίο πρόγραμμα εργασίας του τόπου υλοποίησης της επένδυσης.</w:t>
      </w:r>
    </w:p>
    <w:p w14:paraId="729ACB0C" w14:textId="77777777" w:rsidR="001D7F47" w:rsidRPr="00ED4FD5" w:rsidRDefault="001D7F47" w:rsidP="001D7F47">
      <w:pPr>
        <w:pStyle w:val="ListParagraph"/>
        <w:numPr>
          <w:ilvl w:val="0"/>
          <w:numId w:val="2"/>
        </w:numPr>
        <w:spacing w:before="0" w:after="83" w:line="287"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Τόσο η τήρηση της τυπικής προϋπόθεσης συμμετοχής, όσο και η βαθμολογία που αποκόμισε η αιτούσα με την δήλωση/δέσμευση της για αύξηση της απασχόλησης (με παράλληλη διατήρηση των υφιστάμενων θέσεων απασχόλησης), αποτελεί κριτήριο παραλαβής της πράξης, βαθμολόγησης της αίτησης, καθώς και αντικείμενο ελέγχου τόσο κατά την υλοποίηση, όσο και κατά τον έλεγχο της τήρησης των μακροχρόνιων υποχρεώσεων. Συνεπώς, τυχόν μη τήρηση της δέσμευσης της αιτούσας οδηγεί την αίτηση, αφενός σε αναβαθμολόγηση και αφετέρου σε επιβολή ποινής ή/και απένταξη της επιχείρησης από την δράση.</w:t>
      </w:r>
    </w:p>
    <w:p w14:paraId="376C875E" w14:textId="77777777" w:rsidR="001D7F47" w:rsidRPr="00ED4FD5" w:rsidRDefault="001D7F47" w:rsidP="001D7F47">
      <w:pPr>
        <w:spacing w:after="83" w:line="287" w:lineRule="auto"/>
        <w:ind w:left="577"/>
        <w:rPr>
          <w:rFonts w:asciiTheme="minorHAnsi" w:hAnsiTheme="minorHAnsi" w:cstheme="minorHAnsi"/>
          <w:sz w:val="22"/>
          <w:szCs w:val="22"/>
          <w:u w:val="single"/>
          <w:lang w:val="el-GR"/>
        </w:rPr>
      </w:pPr>
      <w:r w:rsidRPr="00ED4FD5">
        <w:rPr>
          <w:rFonts w:asciiTheme="minorHAnsi" w:hAnsiTheme="minorHAnsi" w:cstheme="minorHAnsi"/>
          <w:sz w:val="22"/>
          <w:szCs w:val="22"/>
          <w:u w:val="single"/>
          <w:lang w:val="el-GR"/>
        </w:rPr>
        <w:t>Για τους σκοπούς του παρόντος παραρτήματος θα χρησιμοποιηθούν τα κάτωθι ακρωνύμια:</w:t>
      </w:r>
    </w:p>
    <w:p w14:paraId="5991EC4D" w14:textId="77777777" w:rsidR="001D7F47" w:rsidRPr="00ED4FD5" w:rsidRDefault="001D7F47" w:rsidP="001D7F47">
      <w:pPr>
        <w:spacing w:after="83" w:line="287" w:lineRule="auto"/>
        <w:ind w:left="577"/>
        <w:rPr>
          <w:rFonts w:asciiTheme="minorHAnsi" w:hAnsiTheme="minorHAnsi" w:cstheme="minorHAnsi"/>
          <w:sz w:val="22"/>
          <w:szCs w:val="22"/>
          <w:lang w:val="el-GR"/>
        </w:rPr>
      </w:pPr>
      <w:r w:rsidRPr="00ED4FD5">
        <w:rPr>
          <w:rFonts w:asciiTheme="minorHAnsi" w:hAnsiTheme="minorHAnsi" w:cstheme="minorHAnsi"/>
          <w:b/>
          <w:bCs/>
          <w:sz w:val="22"/>
          <w:szCs w:val="22"/>
          <w:lang w:val="el-GR"/>
        </w:rPr>
        <w:t>Α.Τ.Π.Δ.Χ. = Α</w:t>
      </w:r>
      <w:r w:rsidRPr="00ED4FD5">
        <w:rPr>
          <w:rFonts w:asciiTheme="minorHAnsi" w:hAnsiTheme="minorHAnsi" w:cstheme="minorHAnsi"/>
          <w:sz w:val="22"/>
          <w:szCs w:val="22"/>
          <w:lang w:val="el-GR"/>
        </w:rPr>
        <w:t>ναλογούσα</w:t>
      </w:r>
      <w:r w:rsidRPr="00ED4FD5">
        <w:rPr>
          <w:rFonts w:asciiTheme="minorHAnsi" w:hAnsiTheme="minorHAnsi" w:cstheme="minorHAnsi"/>
          <w:b/>
          <w:bCs/>
          <w:sz w:val="22"/>
          <w:szCs w:val="22"/>
          <w:lang w:val="el-GR"/>
        </w:rPr>
        <w:t xml:space="preserve"> </w:t>
      </w:r>
      <w:r w:rsidRPr="00ED4FD5">
        <w:rPr>
          <w:rFonts w:asciiTheme="minorHAnsi" w:hAnsiTheme="minorHAnsi" w:cstheme="minorHAnsi"/>
          <w:sz w:val="22"/>
          <w:szCs w:val="22"/>
          <w:lang w:val="el-GR"/>
        </w:rPr>
        <w:t xml:space="preserve">σύμφωνα με </w:t>
      </w:r>
      <w:r w:rsidRPr="00ED4FD5">
        <w:rPr>
          <w:rFonts w:asciiTheme="minorHAnsi" w:hAnsiTheme="minorHAnsi" w:cstheme="minorHAnsi"/>
          <w:b/>
          <w:bCs/>
          <w:sz w:val="22"/>
          <w:szCs w:val="22"/>
          <w:lang w:val="el-GR"/>
        </w:rPr>
        <w:t>Τ</w:t>
      </w:r>
      <w:r w:rsidRPr="00ED4FD5">
        <w:rPr>
          <w:rFonts w:asciiTheme="minorHAnsi" w:hAnsiTheme="minorHAnsi" w:cstheme="minorHAnsi"/>
          <w:sz w:val="22"/>
          <w:szCs w:val="22"/>
          <w:lang w:val="el-GR"/>
        </w:rPr>
        <w:t>ελική</w:t>
      </w:r>
      <w:r w:rsidRPr="00ED4FD5">
        <w:rPr>
          <w:rFonts w:asciiTheme="minorHAnsi" w:hAnsiTheme="minorHAnsi" w:cstheme="minorHAnsi"/>
          <w:b/>
          <w:bCs/>
          <w:sz w:val="22"/>
          <w:szCs w:val="22"/>
          <w:lang w:val="el-GR"/>
        </w:rPr>
        <w:t xml:space="preserve"> Π</w:t>
      </w:r>
      <w:r w:rsidRPr="00ED4FD5">
        <w:rPr>
          <w:rFonts w:asciiTheme="minorHAnsi" w:hAnsiTheme="minorHAnsi" w:cstheme="minorHAnsi"/>
          <w:sz w:val="22"/>
          <w:szCs w:val="22"/>
          <w:lang w:val="el-GR"/>
        </w:rPr>
        <w:t>ιστοποίηση</w:t>
      </w:r>
      <w:r w:rsidRPr="00ED4FD5">
        <w:rPr>
          <w:rFonts w:asciiTheme="minorHAnsi" w:hAnsiTheme="minorHAnsi" w:cstheme="minorHAnsi"/>
          <w:b/>
          <w:bCs/>
          <w:sz w:val="22"/>
          <w:szCs w:val="22"/>
          <w:lang w:val="el-GR"/>
        </w:rPr>
        <w:t xml:space="preserve"> Δ</w:t>
      </w:r>
      <w:r w:rsidRPr="00ED4FD5">
        <w:rPr>
          <w:rFonts w:asciiTheme="minorHAnsi" w:hAnsiTheme="minorHAnsi" w:cstheme="minorHAnsi"/>
          <w:sz w:val="22"/>
          <w:szCs w:val="22"/>
          <w:lang w:val="el-GR"/>
        </w:rPr>
        <w:t>ημόσια</w:t>
      </w:r>
      <w:r w:rsidRPr="00ED4FD5">
        <w:rPr>
          <w:rFonts w:asciiTheme="minorHAnsi" w:hAnsiTheme="minorHAnsi" w:cstheme="minorHAnsi"/>
          <w:b/>
          <w:bCs/>
          <w:sz w:val="22"/>
          <w:szCs w:val="22"/>
          <w:lang w:val="el-GR"/>
        </w:rPr>
        <w:t xml:space="preserve"> Χ</w:t>
      </w:r>
      <w:r w:rsidRPr="00ED4FD5">
        <w:rPr>
          <w:rFonts w:asciiTheme="minorHAnsi" w:hAnsiTheme="minorHAnsi" w:cstheme="minorHAnsi"/>
          <w:sz w:val="22"/>
          <w:szCs w:val="22"/>
          <w:lang w:val="el-GR"/>
        </w:rPr>
        <w:t>ρηματοδότηση (προ ποινών)</w:t>
      </w:r>
    </w:p>
    <w:p w14:paraId="4E2326EE" w14:textId="77777777" w:rsidR="001D7F47" w:rsidRPr="00ED4FD5" w:rsidRDefault="001D7F47" w:rsidP="001D7F47">
      <w:pPr>
        <w:spacing w:after="83" w:line="287" w:lineRule="auto"/>
        <w:ind w:left="1560" w:hanging="993"/>
        <w:rPr>
          <w:rFonts w:asciiTheme="minorHAnsi" w:hAnsiTheme="minorHAnsi" w:cstheme="minorHAnsi"/>
          <w:sz w:val="22"/>
          <w:szCs w:val="22"/>
          <w:lang w:val="el-GR"/>
        </w:rPr>
      </w:pPr>
      <w:r w:rsidRPr="00ED4FD5">
        <w:rPr>
          <w:rFonts w:asciiTheme="minorHAnsi" w:hAnsiTheme="minorHAnsi" w:cstheme="minorHAnsi"/>
          <w:b/>
          <w:bCs/>
          <w:sz w:val="22"/>
          <w:szCs w:val="22"/>
          <w:lang w:val="el-GR"/>
        </w:rPr>
        <w:t>Τ.Κ.Δ.Χ. = Τ</w:t>
      </w:r>
      <w:r w:rsidRPr="00ED4FD5">
        <w:rPr>
          <w:rFonts w:asciiTheme="minorHAnsi" w:hAnsiTheme="minorHAnsi" w:cstheme="minorHAnsi"/>
          <w:sz w:val="22"/>
          <w:szCs w:val="22"/>
          <w:lang w:val="el-GR"/>
        </w:rPr>
        <w:t xml:space="preserve">ελικά </w:t>
      </w:r>
      <w:r w:rsidRPr="00ED4FD5">
        <w:rPr>
          <w:rFonts w:asciiTheme="minorHAnsi" w:hAnsiTheme="minorHAnsi" w:cstheme="minorHAnsi"/>
          <w:b/>
          <w:bCs/>
          <w:sz w:val="22"/>
          <w:szCs w:val="22"/>
          <w:lang w:val="el-GR"/>
        </w:rPr>
        <w:t>Κ</w:t>
      </w:r>
      <w:r w:rsidRPr="00ED4FD5">
        <w:rPr>
          <w:rFonts w:asciiTheme="minorHAnsi" w:hAnsiTheme="minorHAnsi" w:cstheme="minorHAnsi"/>
          <w:sz w:val="22"/>
          <w:szCs w:val="22"/>
          <w:lang w:val="el-GR"/>
        </w:rPr>
        <w:t xml:space="preserve">αταβληθείσα </w:t>
      </w:r>
      <w:r w:rsidRPr="00ED4FD5">
        <w:rPr>
          <w:rFonts w:asciiTheme="minorHAnsi" w:hAnsiTheme="minorHAnsi" w:cstheme="minorHAnsi"/>
          <w:b/>
          <w:bCs/>
          <w:sz w:val="22"/>
          <w:szCs w:val="22"/>
          <w:lang w:val="el-GR"/>
        </w:rPr>
        <w:t>Δ</w:t>
      </w:r>
      <w:r w:rsidRPr="00ED4FD5">
        <w:rPr>
          <w:rFonts w:asciiTheme="minorHAnsi" w:hAnsiTheme="minorHAnsi" w:cstheme="minorHAnsi"/>
          <w:sz w:val="22"/>
          <w:szCs w:val="22"/>
          <w:lang w:val="el-GR"/>
        </w:rPr>
        <w:t>ημόσια</w:t>
      </w:r>
      <w:r w:rsidRPr="00ED4FD5">
        <w:rPr>
          <w:rFonts w:asciiTheme="minorHAnsi" w:hAnsiTheme="minorHAnsi" w:cstheme="minorHAnsi"/>
          <w:b/>
          <w:bCs/>
          <w:sz w:val="22"/>
          <w:szCs w:val="22"/>
          <w:lang w:val="el-GR"/>
        </w:rPr>
        <w:t xml:space="preserve"> Χ</w:t>
      </w:r>
      <w:r w:rsidRPr="00ED4FD5">
        <w:rPr>
          <w:rFonts w:asciiTheme="minorHAnsi" w:hAnsiTheme="minorHAnsi" w:cstheme="minorHAnsi"/>
          <w:sz w:val="22"/>
          <w:szCs w:val="22"/>
          <w:lang w:val="el-GR"/>
        </w:rPr>
        <w:t>ρηματοδότηση (δηλαδή μετά την αφαίρεση τυχών ποινών κατά την τελική πιστοποίηση)</w:t>
      </w:r>
    </w:p>
    <w:p w14:paraId="359953F3" w14:textId="77777777" w:rsidR="001D7F47" w:rsidRPr="00ED4FD5" w:rsidRDefault="001D7F47" w:rsidP="001D7F47">
      <w:pPr>
        <w:spacing w:after="83" w:line="287" w:lineRule="auto"/>
        <w:ind w:left="577"/>
        <w:rPr>
          <w:rFonts w:asciiTheme="minorHAnsi" w:hAnsiTheme="minorHAnsi" w:cstheme="minorHAnsi"/>
          <w:sz w:val="22"/>
          <w:szCs w:val="22"/>
          <w:lang w:val="el-GR"/>
        </w:rPr>
      </w:pPr>
      <w:r w:rsidRPr="00ED4FD5">
        <w:rPr>
          <w:rFonts w:asciiTheme="minorHAnsi" w:hAnsiTheme="minorHAnsi" w:cstheme="minorHAnsi"/>
          <w:b/>
          <w:bCs/>
          <w:sz w:val="22"/>
          <w:szCs w:val="22"/>
          <w:lang w:val="el-GR"/>
        </w:rPr>
        <w:t>Ε.Μ.Ε.</w:t>
      </w:r>
      <w:r w:rsidRPr="00ED4FD5">
        <w:rPr>
          <w:rFonts w:asciiTheme="minorHAnsi" w:hAnsiTheme="minorHAnsi" w:cstheme="minorHAnsi"/>
          <w:sz w:val="22"/>
          <w:szCs w:val="22"/>
          <w:lang w:val="el-GR"/>
        </w:rPr>
        <w:t xml:space="preserve"> = </w:t>
      </w:r>
      <w:r w:rsidRPr="00ED4FD5">
        <w:rPr>
          <w:rFonts w:asciiTheme="minorHAnsi" w:hAnsiTheme="minorHAnsi" w:cstheme="minorHAnsi"/>
          <w:b/>
          <w:bCs/>
          <w:sz w:val="22"/>
          <w:szCs w:val="22"/>
          <w:lang w:val="el-GR"/>
        </w:rPr>
        <w:t>Ε</w:t>
      </w:r>
      <w:r w:rsidRPr="00ED4FD5">
        <w:rPr>
          <w:rFonts w:asciiTheme="minorHAnsi" w:hAnsiTheme="minorHAnsi" w:cstheme="minorHAnsi"/>
          <w:sz w:val="22"/>
          <w:szCs w:val="22"/>
          <w:lang w:val="el-GR"/>
        </w:rPr>
        <w:t xml:space="preserve">τήσια(ες) </w:t>
      </w:r>
      <w:r w:rsidRPr="00ED4FD5">
        <w:rPr>
          <w:rFonts w:asciiTheme="minorHAnsi" w:hAnsiTheme="minorHAnsi" w:cstheme="minorHAnsi"/>
          <w:b/>
          <w:bCs/>
          <w:sz w:val="22"/>
          <w:szCs w:val="22"/>
          <w:lang w:val="el-GR"/>
        </w:rPr>
        <w:t>Μ</w:t>
      </w:r>
      <w:r w:rsidRPr="00ED4FD5">
        <w:rPr>
          <w:rFonts w:asciiTheme="minorHAnsi" w:hAnsiTheme="minorHAnsi" w:cstheme="minorHAnsi"/>
          <w:sz w:val="22"/>
          <w:szCs w:val="22"/>
          <w:lang w:val="el-GR"/>
        </w:rPr>
        <w:t xml:space="preserve">ονάδα(ες) </w:t>
      </w:r>
      <w:r w:rsidRPr="00ED4FD5">
        <w:rPr>
          <w:rFonts w:asciiTheme="minorHAnsi" w:hAnsiTheme="minorHAnsi" w:cstheme="minorHAnsi"/>
          <w:b/>
          <w:bCs/>
          <w:sz w:val="22"/>
          <w:szCs w:val="22"/>
          <w:lang w:val="el-GR"/>
        </w:rPr>
        <w:t>Ε</w:t>
      </w:r>
      <w:r w:rsidRPr="00ED4FD5">
        <w:rPr>
          <w:rFonts w:asciiTheme="minorHAnsi" w:hAnsiTheme="minorHAnsi" w:cstheme="minorHAnsi"/>
          <w:sz w:val="22"/>
          <w:szCs w:val="22"/>
          <w:lang w:val="el-GR"/>
        </w:rPr>
        <w:t>ργασίας</w:t>
      </w:r>
    </w:p>
    <w:p w14:paraId="563662CC" w14:textId="77777777" w:rsidR="001D7F47" w:rsidRPr="00ED4FD5" w:rsidRDefault="001D7F47" w:rsidP="001D7F47">
      <w:pPr>
        <w:spacing w:after="83" w:line="287" w:lineRule="auto"/>
        <w:ind w:left="577"/>
        <w:rPr>
          <w:rFonts w:asciiTheme="minorHAnsi" w:hAnsiTheme="minorHAnsi" w:cstheme="minorHAnsi"/>
          <w:sz w:val="22"/>
          <w:szCs w:val="22"/>
          <w:lang w:val="el-GR"/>
        </w:rPr>
      </w:pPr>
      <w:r w:rsidRPr="00ED4FD5">
        <w:rPr>
          <w:rFonts w:asciiTheme="minorHAnsi" w:hAnsiTheme="minorHAnsi" w:cstheme="minorHAnsi"/>
          <w:b/>
          <w:bCs/>
          <w:sz w:val="22"/>
          <w:szCs w:val="22"/>
          <w:lang w:val="el-GR"/>
        </w:rPr>
        <w:t>Ε.Μ.Ε.Ε.Β. = Ε.Μ.Ε. Έ</w:t>
      </w:r>
      <w:r w:rsidRPr="00ED4FD5">
        <w:rPr>
          <w:rFonts w:asciiTheme="minorHAnsi" w:hAnsiTheme="minorHAnsi" w:cstheme="minorHAnsi"/>
          <w:sz w:val="22"/>
          <w:szCs w:val="22"/>
          <w:lang w:val="el-GR"/>
        </w:rPr>
        <w:t xml:space="preserve">τους </w:t>
      </w:r>
      <w:r w:rsidRPr="00ED4FD5">
        <w:rPr>
          <w:rFonts w:asciiTheme="minorHAnsi" w:hAnsiTheme="minorHAnsi" w:cstheme="minorHAnsi"/>
          <w:b/>
          <w:bCs/>
          <w:sz w:val="22"/>
          <w:szCs w:val="22"/>
          <w:lang w:val="el-GR"/>
        </w:rPr>
        <w:t>Β</w:t>
      </w:r>
      <w:r w:rsidRPr="00ED4FD5">
        <w:rPr>
          <w:rFonts w:asciiTheme="minorHAnsi" w:hAnsiTheme="minorHAnsi" w:cstheme="minorHAnsi"/>
          <w:sz w:val="22"/>
          <w:szCs w:val="22"/>
          <w:lang w:val="el-GR"/>
        </w:rPr>
        <w:t xml:space="preserve">άσης (δηλαδή του </w:t>
      </w:r>
      <w:r w:rsidRPr="00ED4FD5">
        <w:rPr>
          <w:rFonts w:asciiTheme="minorHAnsi" w:hAnsiTheme="minorHAnsi" w:cstheme="minorHAnsi"/>
          <w:color w:val="FF0000"/>
          <w:sz w:val="22"/>
          <w:szCs w:val="22"/>
          <w:lang w:val="el-GR"/>
        </w:rPr>
        <w:t xml:space="preserve"> </w:t>
      </w:r>
      <w:r w:rsidRPr="00ED4FD5">
        <w:rPr>
          <w:rFonts w:asciiTheme="minorHAnsi" w:hAnsiTheme="minorHAnsi" w:cstheme="minorHAnsi"/>
          <w:sz w:val="22"/>
          <w:szCs w:val="22"/>
          <w:lang w:val="el-GR"/>
        </w:rPr>
        <w:t>2024)</w:t>
      </w:r>
    </w:p>
    <w:p w14:paraId="7F791DEC" w14:textId="77777777" w:rsidR="001D7F47" w:rsidRPr="00ED4FD5" w:rsidRDefault="001D7F47" w:rsidP="001D7F47">
      <w:pPr>
        <w:spacing w:after="83" w:line="287" w:lineRule="auto"/>
        <w:ind w:left="577"/>
        <w:rPr>
          <w:rFonts w:asciiTheme="minorHAnsi" w:hAnsiTheme="minorHAnsi" w:cstheme="minorHAnsi"/>
          <w:sz w:val="22"/>
          <w:szCs w:val="22"/>
          <w:lang w:val="el-GR"/>
        </w:rPr>
      </w:pPr>
      <w:r w:rsidRPr="00ED4FD5">
        <w:rPr>
          <w:rFonts w:asciiTheme="minorHAnsi" w:hAnsiTheme="minorHAnsi" w:cstheme="minorHAnsi"/>
          <w:b/>
          <w:bCs/>
          <w:sz w:val="22"/>
          <w:szCs w:val="22"/>
          <w:lang w:val="el-GR"/>
        </w:rPr>
        <w:t>Δ.Α.Α.</w:t>
      </w:r>
      <w:r w:rsidRPr="00ED4FD5">
        <w:rPr>
          <w:rFonts w:asciiTheme="minorHAnsi" w:hAnsiTheme="minorHAnsi" w:cstheme="minorHAnsi"/>
          <w:sz w:val="22"/>
          <w:szCs w:val="22"/>
          <w:lang w:val="el-GR"/>
        </w:rPr>
        <w:t xml:space="preserve"> = </w:t>
      </w:r>
      <w:r w:rsidRPr="00ED4FD5">
        <w:rPr>
          <w:rFonts w:asciiTheme="minorHAnsi" w:hAnsiTheme="minorHAnsi" w:cstheme="minorHAnsi"/>
          <w:b/>
          <w:bCs/>
          <w:sz w:val="22"/>
          <w:szCs w:val="22"/>
          <w:lang w:val="el-GR"/>
        </w:rPr>
        <w:t>Δ</w:t>
      </w:r>
      <w:r w:rsidRPr="00ED4FD5">
        <w:rPr>
          <w:rFonts w:asciiTheme="minorHAnsi" w:hAnsiTheme="minorHAnsi" w:cstheme="minorHAnsi"/>
          <w:sz w:val="22"/>
          <w:szCs w:val="22"/>
          <w:lang w:val="el-GR"/>
        </w:rPr>
        <w:t xml:space="preserve">ηλωθείσα (κατά την υποβολή) </w:t>
      </w:r>
      <w:r w:rsidRPr="00ED4FD5">
        <w:rPr>
          <w:rFonts w:asciiTheme="minorHAnsi" w:hAnsiTheme="minorHAnsi" w:cstheme="minorHAnsi"/>
          <w:b/>
          <w:bCs/>
          <w:sz w:val="22"/>
          <w:szCs w:val="22"/>
          <w:lang w:val="el-GR"/>
        </w:rPr>
        <w:t>Α</w:t>
      </w:r>
      <w:r w:rsidRPr="00ED4FD5">
        <w:rPr>
          <w:rFonts w:asciiTheme="minorHAnsi" w:hAnsiTheme="minorHAnsi" w:cstheme="minorHAnsi"/>
          <w:sz w:val="22"/>
          <w:szCs w:val="22"/>
          <w:lang w:val="el-GR"/>
        </w:rPr>
        <w:t xml:space="preserve">ύξηση </w:t>
      </w:r>
      <w:r w:rsidRPr="00ED4FD5">
        <w:rPr>
          <w:rFonts w:asciiTheme="minorHAnsi" w:hAnsiTheme="minorHAnsi" w:cstheme="minorHAnsi"/>
          <w:b/>
          <w:bCs/>
          <w:sz w:val="22"/>
          <w:szCs w:val="22"/>
          <w:lang w:val="el-GR"/>
        </w:rPr>
        <w:t>Α</w:t>
      </w:r>
      <w:r w:rsidRPr="00ED4FD5">
        <w:rPr>
          <w:rFonts w:asciiTheme="minorHAnsi" w:hAnsiTheme="minorHAnsi" w:cstheme="minorHAnsi"/>
          <w:sz w:val="22"/>
          <w:szCs w:val="22"/>
          <w:lang w:val="el-GR"/>
        </w:rPr>
        <w:t>πασχόλησης (εκφρασμένη σε Ε.Μ.Ε.)</w:t>
      </w:r>
    </w:p>
    <w:p w14:paraId="647DE390" w14:textId="77777777" w:rsidR="001D7F47" w:rsidRPr="00ED4FD5" w:rsidRDefault="001D7F47" w:rsidP="001D7F47">
      <w:pPr>
        <w:spacing w:after="83" w:line="287" w:lineRule="auto"/>
        <w:ind w:left="2127" w:hanging="1560"/>
        <w:rPr>
          <w:rFonts w:asciiTheme="minorHAnsi" w:hAnsiTheme="minorHAnsi" w:cstheme="minorHAnsi"/>
          <w:sz w:val="22"/>
          <w:szCs w:val="22"/>
          <w:lang w:val="el-GR"/>
        </w:rPr>
      </w:pPr>
      <w:r w:rsidRPr="00ED4FD5">
        <w:rPr>
          <w:rFonts w:asciiTheme="minorHAnsi" w:hAnsiTheme="minorHAnsi" w:cstheme="minorHAnsi"/>
          <w:b/>
          <w:bCs/>
          <w:sz w:val="22"/>
          <w:szCs w:val="22"/>
          <w:lang w:val="el-GR"/>
        </w:rPr>
        <w:t>Ε.Μ.Ε.μ.Αν.12μ</w:t>
      </w:r>
      <w:r w:rsidRPr="00ED4FD5">
        <w:rPr>
          <w:rFonts w:asciiTheme="minorHAnsi" w:hAnsiTheme="minorHAnsi" w:cstheme="minorHAnsi"/>
          <w:sz w:val="22"/>
          <w:szCs w:val="22"/>
          <w:lang w:val="el-GR"/>
        </w:rPr>
        <w:t xml:space="preserve"> = </w:t>
      </w:r>
      <w:r w:rsidRPr="00ED4FD5">
        <w:rPr>
          <w:rFonts w:asciiTheme="minorHAnsi" w:hAnsiTheme="minorHAnsi" w:cstheme="minorHAnsi"/>
          <w:b/>
          <w:bCs/>
          <w:sz w:val="22"/>
          <w:szCs w:val="22"/>
          <w:lang w:val="el-GR"/>
        </w:rPr>
        <w:t>Ε.Μ.Ε.</w:t>
      </w:r>
      <w:r w:rsidRPr="00ED4FD5">
        <w:rPr>
          <w:rFonts w:asciiTheme="minorHAnsi" w:hAnsiTheme="minorHAnsi" w:cstheme="minorHAnsi"/>
          <w:sz w:val="22"/>
          <w:szCs w:val="22"/>
          <w:lang w:val="el-GR"/>
        </w:rPr>
        <w:t xml:space="preserve"> των υφιστάμενων θέσεων εργασίας </w:t>
      </w:r>
      <w:r w:rsidRPr="00ED4FD5">
        <w:rPr>
          <w:rFonts w:asciiTheme="minorHAnsi" w:hAnsiTheme="minorHAnsi" w:cstheme="minorHAnsi"/>
          <w:b/>
          <w:bCs/>
          <w:sz w:val="22"/>
          <w:szCs w:val="22"/>
          <w:lang w:val="el-GR"/>
        </w:rPr>
        <w:t>με</w:t>
      </w:r>
      <w:r w:rsidRPr="00ED4FD5">
        <w:rPr>
          <w:rFonts w:asciiTheme="minorHAnsi" w:hAnsiTheme="minorHAnsi" w:cstheme="minorHAnsi"/>
          <w:sz w:val="22"/>
          <w:szCs w:val="22"/>
          <w:lang w:val="el-GR"/>
        </w:rPr>
        <w:t xml:space="preserve"> </w:t>
      </w:r>
      <w:r w:rsidRPr="00ED4FD5">
        <w:rPr>
          <w:rFonts w:asciiTheme="minorHAnsi" w:hAnsiTheme="minorHAnsi" w:cstheme="minorHAnsi"/>
          <w:b/>
          <w:bCs/>
          <w:sz w:val="22"/>
          <w:szCs w:val="22"/>
          <w:lang w:val="el-GR"/>
        </w:rPr>
        <w:t>Α</w:t>
      </w:r>
      <w:r w:rsidRPr="00ED4FD5">
        <w:rPr>
          <w:rFonts w:asciiTheme="minorHAnsi" w:hAnsiTheme="minorHAnsi" w:cstheme="minorHAnsi"/>
          <w:sz w:val="22"/>
          <w:szCs w:val="22"/>
          <w:lang w:val="el-GR"/>
        </w:rPr>
        <w:t xml:space="preserve">ναγωγή στο </w:t>
      </w:r>
      <w:r w:rsidRPr="00ED4FD5">
        <w:rPr>
          <w:rFonts w:asciiTheme="minorHAnsi" w:hAnsiTheme="minorHAnsi" w:cstheme="minorHAnsi"/>
          <w:b/>
          <w:bCs/>
          <w:sz w:val="22"/>
          <w:szCs w:val="22"/>
          <w:lang w:val="el-GR"/>
        </w:rPr>
        <w:t>12μηνο</w:t>
      </w:r>
      <w:r w:rsidRPr="00ED4FD5">
        <w:rPr>
          <w:rFonts w:asciiTheme="minorHAnsi" w:hAnsiTheme="minorHAnsi" w:cstheme="minorHAnsi"/>
          <w:sz w:val="22"/>
          <w:szCs w:val="22"/>
          <w:lang w:val="el-GR"/>
        </w:rPr>
        <w:t xml:space="preserve"> βάσει των διαθέσιμων τη δεδομένη χρονική στιγμή, προσδιοριστικών του μεγέθους της απασχόλησης στοιχείων. Δηλαδή Ε.Μ.Ε. που </w:t>
      </w:r>
      <w:r w:rsidRPr="00ED4FD5">
        <w:rPr>
          <w:rFonts w:asciiTheme="minorHAnsi" w:hAnsiTheme="minorHAnsi" w:cstheme="minorHAnsi"/>
          <w:sz w:val="22"/>
          <w:szCs w:val="22"/>
          <w:u w:val="single"/>
          <w:lang w:val="el-GR"/>
        </w:rPr>
        <w:t>θα</w:t>
      </w:r>
      <w:r w:rsidRPr="00ED4FD5">
        <w:rPr>
          <w:rFonts w:asciiTheme="minorHAnsi" w:hAnsiTheme="minorHAnsi" w:cstheme="minorHAnsi"/>
          <w:sz w:val="22"/>
          <w:szCs w:val="22"/>
          <w:lang w:val="el-GR"/>
        </w:rPr>
        <w:t xml:space="preserve"> συγκεντρώσουν οι </w:t>
      </w:r>
      <w:r w:rsidRPr="00ED4FD5">
        <w:rPr>
          <w:rFonts w:asciiTheme="minorHAnsi" w:hAnsiTheme="minorHAnsi" w:cstheme="minorHAnsi"/>
          <w:sz w:val="22"/>
          <w:szCs w:val="22"/>
          <w:lang w:val="el-GR"/>
        </w:rPr>
        <w:lastRenderedPageBreak/>
        <w:t xml:space="preserve">υφιστάμενοι εργαζόμενοι της επιχείρησης κατά την ημερομηνία του τελικού ελέγχου,  σύμφωνα με τα εν ισχύ εβδομαδιαία προγράμματα εργασίας, </w:t>
      </w:r>
      <w:r w:rsidRPr="00ED4FD5">
        <w:rPr>
          <w:rFonts w:asciiTheme="minorHAnsi" w:hAnsiTheme="minorHAnsi" w:cstheme="minorHAnsi"/>
          <w:sz w:val="22"/>
          <w:szCs w:val="22"/>
          <w:u w:val="single"/>
          <w:lang w:val="el-GR"/>
        </w:rPr>
        <w:t>εφόσον αυτά διατηρηθούν ως έχουν</w:t>
      </w:r>
      <w:r w:rsidRPr="00ED4FD5">
        <w:rPr>
          <w:rFonts w:asciiTheme="minorHAnsi" w:hAnsiTheme="minorHAnsi" w:cstheme="minorHAnsi"/>
          <w:sz w:val="22"/>
          <w:szCs w:val="22"/>
          <w:lang w:val="el-GR"/>
        </w:rPr>
        <w:t xml:space="preserve"> για τον μήνα που έπεται αυτού στον οποίο θα υποβληθεί η τελική πιστοποίηση </w:t>
      </w:r>
      <w:r w:rsidRPr="00ED4FD5">
        <w:rPr>
          <w:rFonts w:asciiTheme="minorHAnsi" w:hAnsiTheme="minorHAnsi" w:cstheme="minorHAnsi"/>
          <w:sz w:val="22"/>
          <w:szCs w:val="22"/>
          <w:u w:val="single"/>
          <w:lang w:val="el-GR"/>
        </w:rPr>
        <w:t>και</w:t>
      </w:r>
      <w:r w:rsidRPr="00ED4FD5">
        <w:rPr>
          <w:rFonts w:asciiTheme="minorHAnsi" w:hAnsiTheme="minorHAnsi" w:cstheme="minorHAnsi"/>
          <w:sz w:val="22"/>
          <w:szCs w:val="22"/>
          <w:lang w:val="el-GR"/>
        </w:rPr>
        <w:t xml:space="preserve"> για τους επόμενους έντεκα (11) συνεχόμενους ολόκληρους μήνες (σύνολο δώδεκα μήνες). </w:t>
      </w:r>
      <w:r w:rsidRPr="00ED4FD5">
        <w:rPr>
          <w:rFonts w:asciiTheme="minorHAnsi" w:hAnsiTheme="minorHAnsi" w:cstheme="minorHAnsi"/>
          <w:i/>
          <w:iCs/>
          <w:sz w:val="22"/>
          <w:szCs w:val="22"/>
          <w:lang w:val="el-GR"/>
        </w:rPr>
        <w:t>π.χ. Έστω ότι επιχείρηση κατά την ημερομηνία ελέγχου (μήνας Οκτώβριος 2025) απασχολεί 2 εργαζόμενους, ο ένας με εβδομαδιαίο πρόγραμμα 40 ωρών και ο άλλος με 30 ώρες την εβδομάδα. Οι εν λόγω εργαζόμενοι εφόσον τα ωράρια τους διατηρηθούν χωρίς τροποποιήσεις για τους επόμενους δώδεκα (12) ολόκληρους μήνες (δηλαδή Νοέμβριο – Δεκέμβριο 2024 – ….. – Οκτώβριο 2025), θα αθροίζουν 1,75 Ε.Μ.Ε.</w:t>
      </w:r>
    </w:p>
    <w:p w14:paraId="4C8FFCD4" w14:textId="77777777" w:rsidR="001D7F47" w:rsidRPr="00ED4FD5" w:rsidRDefault="001D7F47" w:rsidP="001D7F47">
      <w:pPr>
        <w:spacing w:after="83" w:line="287" w:lineRule="auto"/>
        <w:ind w:left="577"/>
        <w:rPr>
          <w:rFonts w:asciiTheme="minorHAnsi" w:hAnsiTheme="minorHAnsi" w:cstheme="minorHAnsi"/>
          <w:sz w:val="22"/>
          <w:szCs w:val="22"/>
          <w:lang w:val="el-GR"/>
        </w:rPr>
      </w:pPr>
      <w:r w:rsidRPr="00ED4FD5">
        <w:rPr>
          <w:rFonts w:asciiTheme="minorHAnsi" w:hAnsiTheme="minorHAnsi" w:cstheme="minorHAnsi"/>
          <w:b/>
          <w:bCs/>
          <w:sz w:val="22"/>
          <w:szCs w:val="22"/>
          <w:lang w:val="el-GR"/>
        </w:rPr>
        <w:t xml:space="preserve">Ε.Μ.Ε.Π.Ε.Μ.Υ. = Ε.Μ.Ε. </w:t>
      </w:r>
      <w:r w:rsidRPr="00ED4FD5">
        <w:rPr>
          <w:rFonts w:asciiTheme="minorHAnsi" w:hAnsiTheme="minorHAnsi" w:cstheme="minorHAnsi"/>
          <w:sz w:val="22"/>
          <w:szCs w:val="22"/>
          <w:lang w:val="el-GR"/>
        </w:rPr>
        <w:t xml:space="preserve">που </w:t>
      </w:r>
      <w:r w:rsidRPr="00ED4FD5">
        <w:rPr>
          <w:rFonts w:asciiTheme="minorHAnsi" w:hAnsiTheme="minorHAnsi" w:cstheme="minorHAnsi"/>
          <w:b/>
          <w:bCs/>
          <w:sz w:val="22"/>
          <w:szCs w:val="22"/>
          <w:lang w:val="el-GR"/>
        </w:rPr>
        <w:t>Π</w:t>
      </w:r>
      <w:r w:rsidRPr="00ED4FD5">
        <w:rPr>
          <w:rFonts w:asciiTheme="minorHAnsi" w:hAnsiTheme="minorHAnsi" w:cstheme="minorHAnsi"/>
          <w:sz w:val="22"/>
          <w:szCs w:val="22"/>
          <w:lang w:val="el-GR"/>
        </w:rPr>
        <w:t xml:space="preserve">ιστοποιήθηκαν κατά τον </w:t>
      </w:r>
      <w:r w:rsidRPr="00ED4FD5">
        <w:rPr>
          <w:rFonts w:asciiTheme="minorHAnsi" w:hAnsiTheme="minorHAnsi" w:cstheme="minorHAnsi"/>
          <w:b/>
          <w:bCs/>
          <w:sz w:val="22"/>
          <w:szCs w:val="22"/>
          <w:lang w:val="el-GR"/>
        </w:rPr>
        <w:t>Έ</w:t>
      </w:r>
      <w:r w:rsidRPr="00ED4FD5">
        <w:rPr>
          <w:rFonts w:asciiTheme="minorHAnsi" w:hAnsiTheme="minorHAnsi" w:cstheme="minorHAnsi"/>
          <w:sz w:val="22"/>
          <w:szCs w:val="22"/>
          <w:lang w:val="el-GR"/>
        </w:rPr>
        <w:t xml:space="preserve">λεγχο των </w:t>
      </w:r>
      <w:r w:rsidRPr="00ED4FD5">
        <w:rPr>
          <w:rFonts w:asciiTheme="minorHAnsi" w:hAnsiTheme="minorHAnsi" w:cstheme="minorHAnsi"/>
          <w:b/>
          <w:bCs/>
          <w:sz w:val="22"/>
          <w:szCs w:val="22"/>
          <w:lang w:val="el-GR"/>
        </w:rPr>
        <w:t>Μ</w:t>
      </w:r>
      <w:r w:rsidRPr="00ED4FD5">
        <w:rPr>
          <w:rFonts w:asciiTheme="minorHAnsi" w:hAnsiTheme="minorHAnsi" w:cstheme="minorHAnsi"/>
          <w:sz w:val="22"/>
          <w:szCs w:val="22"/>
          <w:lang w:val="el-GR"/>
        </w:rPr>
        <w:t xml:space="preserve">ακροχρόνιων </w:t>
      </w:r>
      <w:r w:rsidRPr="00ED4FD5">
        <w:rPr>
          <w:rFonts w:asciiTheme="minorHAnsi" w:hAnsiTheme="minorHAnsi" w:cstheme="minorHAnsi"/>
          <w:b/>
          <w:bCs/>
          <w:sz w:val="22"/>
          <w:szCs w:val="22"/>
          <w:lang w:val="el-GR"/>
        </w:rPr>
        <w:t>Υ</w:t>
      </w:r>
      <w:r w:rsidRPr="00ED4FD5">
        <w:rPr>
          <w:rFonts w:asciiTheme="minorHAnsi" w:hAnsiTheme="minorHAnsi" w:cstheme="minorHAnsi"/>
          <w:sz w:val="22"/>
          <w:szCs w:val="22"/>
          <w:lang w:val="el-GR"/>
        </w:rPr>
        <w:t>ποχρεώσεων</w:t>
      </w:r>
    </w:p>
    <w:p w14:paraId="4AE331F9" w14:textId="77777777" w:rsidR="001D7F47" w:rsidRPr="00ED4FD5" w:rsidRDefault="001D7F47" w:rsidP="001D7F47">
      <w:pPr>
        <w:spacing w:after="83" w:line="287" w:lineRule="auto"/>
        <w:ind w:left="567"/>
        <w:rPr>
          <w:rFonts w:asciiTheme="minorHAnsi" w:hAnsiTheme="minorHAnsi" w:cstheme="minorHAnsi"/>
          <w:sz w:val="22"/>
          <w:szCs w:val="22"/>
          <w:lang w:val="el-GR"/>
        </w:rPr>
      </w:pPr>
      <w:r w:rsidRPr="00ED4FD5">
        <w:rPr>
          <w:rFonts w:asciiTheme="minorHAnsi" w:hAnsiTheme="minorHAnsi" w:cstheme="minorHAnsi"/>
          <w:sz w:val="22"/>
          <w:szCs w:val="22"/>
          <w:lang w:val="el-GR"/>
        </w:rPr>
        <w:t>Από τα ανωτέρω εκπορεύονται τα κάτωθι:</w:t>
      </w:r>
    </w:p>
    <w:p w14:paraId="0900F8F3" w14:textId="77777777" w:rsidR="001D7F47" w:rsidRPr="00ED4FD5" w:rsidRDefault="001D7F47" w:rsidP="001D7F47">
      <w:pPr>
        <w:pStyle w:val="ListParagraph"/>
        <w:numPr>
          <w:ilvl w:val="0"/>
          <w:numId w:val="1"/>
        </w:numPr>
        <w:spacing w:before="0" w:after="83" w:line="287" w:lineRule="auto"/>
        <w:rPr>
          <w:rFonts w:asciiTheme="minorHAnsi" w:hAnsiTheme="minorHAnsi" w:cstheme="minorHAnsi"/>
          <w:sz w:val="22"/>
          <w:szCs w:val="22"/>
          <w:lang w:val="el-GR"/>
        </w:rPr>
      </w:pPr>
      <w:r w:rsidRPr="00ED4FD5">
        <w:rPr>
          <w:rFonts w:asciiTheme="minorHAnsi" w:hAnsiTheme="minorHAnsi" w:cstheme="minorHAnsi"/>
          <w:b/>
          <w:bCs/>
          <w:sz w:val="22"/>
          <w:szCs w:val="22"/>
          <w:u w:val="single"/>
          <w:lang w:val="el-GR"/>
        </w:rPr>
        <w:t>Κατά τον τελικό έλεγχο</w:t>
      </w:r>
      <w:r w:rsidRPr="00ED4FD5">
        <w:rPr>
          <w:rFonts w:asciiTheme="minorHAnsi" w:hAnsiTheme="minorHAnsi" w:cstheme="minorHAnsi"/>
          <w:sz w:val="22"/>
          <w:szCs w:val="22"/>
          <w:lang w:val="el-GR"/>
        </w:rPr>
        <w:t xml:space="preserve">,  θα πρέπει θα πιστοποιηθεί πως </w:t>
      </w:r>
      <w:bookmarkStart w:id="2" w:name="_Hlk151985161"/>
      <w:r w:rsidRPr="00ED4FD5">
        <w:rPr>
          <w:rFonts w:asciiTheme="minorHAnsi" w:hAnsiTheme="minorHAnsi" w:cstheme="minorHAnsi"/>
          <w:sz w:val="22"/>
          <w:szCs w:val="22"/>
          <w:lang w:val="el-GR"/>
        </w:rPr>
        <w:t xml:space="preserve">οι Ε.Μ.Ε. που </w:t>
      </w:r>
      <w:r w:rsidRPr="00ED4FD5">
        <w:rPr>
          <w:rFonts w:asciiTheme="minorHAnsi" w:hAnsiTheme="minorHAnsi" w:cstheme="minorHAnsi"/>
          <w:b/>
          <w:bCs/>
          <w:sz w:val="22"/>
          <w:szCs w:val="22"/>
          <w:u w:val="single"/>
          <w:lang w:val="el-GR"/>
        </w:rPr>
        <w:t>θα</w:t>
      </w:r>
      <w:r w:rsidRPr="00ED4FD5">
        <w:rPr>
          <w:rFonts w:asciiTheme="minorHAnsi" w:hAnsiTheme="minorHAnsi" w:cstheme="minorHAnsi"/>
          <w:sz w:val="22"/>
          <w:szCs w:val="22"/>
          <w:lang w:val="el-GR"/>
        </w:rPr>
        <w:t xml:space="preserve"> συγκεντρώσουν οι υφιστάμενοι εργαζόμενοι της επιχείρησης, σύμφωνα με τα εν ισχύ εβδομαδιαία προγράμματα εργασίας, εφόσον αυτά διατηρηθούν ως έχουν για τους επόμενους δώδεκα (12) μήνες που έπονται του μήνα που υποβλήθηκε η τελική πιστοποίηση, προσαυξάνουν τις Ε.Μ.Ε. της επιχείρησης που συγκέντρωσε κατά το έτος </w:t>
      </w:r>
      <w:bookmarkEnd w:id="2"/>
      <w:r w:rsidRPr="00ED4FD5">
        <w:rPr>
          <w:rFonts w:asciiTheme="minorHAnsi" w:hAnsiTheme="minorHAnsi" w:cstheme="minorHAnsi"/>
          <w:sz w:val="22"/>
          <w:szCs w:val="22"/>
          <w:lang w:val="el-GR"/>
        </w:rPr>
        <w:t xml:space="preserve">βάσης (2024) κατά </w:t>
      </w:r>
      <w:r w:rsidRPr="00ED4FD5">
        <w:rPr>
          <w:rFonts w:asciiTheme="minorHAnsi" w:hAnsiTheme="minorHAnsi" w:cstheme="minorHAnsi"/>
          <w:sz w:val="22"/>
          <w:szCs w:val="22"/>
          <w:u w:val="single"/>
          <w:lang w:val="el-GR"/>
        </w:rPr>
        <w:t xml:space="preserve">τουλάχιστον μισή (0,5) Ε.Μ.Ε. </w:t>
      </w:r>
      <w:r w:rsidRPr="00ED4FD5">
        <w:rPr>
          <w:rFonts w:asciiTheme="minorHAnsi" w:hAnsiTheme="minorHAnsi" w:cstheme="minorHAnsi"/>
          <w:b/>
          <w:bCs/>
          <w:sz w:val="22"/>
          <w:szCs w:val="22"/>
          <w:lang w:val="el-GR"/>
        </w:rPr>
        <w:t xml:space="preserve">Σε διαφορετική περίπτωση ΔΕΝ δύναται να εγκριθεί η τελική έκθεση ελέγχου. </w:t>
      </w:r>
      <w:r w:rsidRPr="00ED4FD5">
        <w:rPr>
          <w:rFonts w:asciiTheme="minorHAnsi" w:hAnsiTheme="minorHAnsi" w:cstheme="minorHAnsi"/>
          <w:i/>
          <w:iCs/>
          <w:sz w:val="22"/>
          <w:szCs w:val="22"/>
          <w:lang w:val="el-GR"/>
        </w:rPr>
        <w:t>π.χ. έστω ότι επιχείρηση κατά την ημερομηνία ελέγχου απασχολεί 2 εργαζόμενους, ο ένας με εβδομαδιαίο πρόγραμμα 40 ωρών και ο άλλος με 20 ώρες την εβδομάδα. Οι εν λόγω εργαζόμενοι εφόσον τα ωράρια τους διατηρηθούν χωρίς τροποποιήσεις για τους επόμενους δώδεκα (12) ολόκληρους μήνες, θα αθροίζουν 1,5 Ε.Μ.Ε. Εφόσον η επιχείρηση απασχόλησε 1 Ε.Μ.Ε. ή και λιγότερες κατά το έτος βάσης (2024), τότε πληρείται η τυπική προϋπόθεση της πρόσκλησης. Σε περίπτωση που η  επιχείρηση απασχόλησε κατά το έτος βάσης (2024), περισσότερες από 1 Ε.Μ.Ε., τότε ΔΕΝ πληρείται η τυπική προϋπόθεση της πρόσκλησης, το έργο οδηγείται σε απένταξη και τυχόν καταβληθείσα δημόσια χρηματοδότηση, λογίζεται ως αχρεωστήτως καταβληθείσα και πρέπει να επιστραφεί εντόκως.</w:t>
      </w:r>
    </w:p>
    <w:p w14:paraId="055B2D71" w14:textId="77777777" w:rsidR="001D7F47" w:rsidRPr="00ED4FD5" w:rsidRDefault="001D7F47" w:rsidP="001D7F47">
      <w:pPr>
        <w:pStyle w:val="ListParagraph"/>
        <w:numPr>
          <w:ilvl w:val="0"/>
          <w:numId w:val="1"/>
        </w:numPr>
        <w:spacing w:before="0" w:after="83" w:line="287" w:lineRule="auto"/>
        <w:rPr>
          <w:rFonts w:asciiTheme="minorHAnsi" w:hAnsiTheme="minorHAnsi" w:cstheme="minorHAnsi"/>
          <w:sz w:val="22"/>
          <w:szCs w:val="22"/>
        </w:rPr>
      </w:pPr>
      <w:r w:rsidRPr="00ED4FD5">
        <w:rPr>
          <w:rFonts w:asciiTheme="minorHAnsi" w:hAnsiTheme="minorHAnsi" w:cstheme="minorHAnsi"/>
          <w:sz w:val="22"/>
          <w:szCs w:val="22"/>
          <w:lang w:val="el-GR"/>
        </w:rPr>
        <w:t xml:space="preserve">Ανάλογα με τον αριθμό των Ε.Μ.Ε. που η δικαιούχος δήλωσε και δεσμεύτηκε πως θα δημιουργήσει/αυξήσει, έλαβε και την αντίστοιχη βαθμολογία στο κριτήριο «Αύξηση Απασχόλησης». </w:t>
      </w:r>
      <w:r w:rsidRPr="00ED4FD5">
        <w:rPr>
          <w:rFonts w:asciiTheme="minorHAnsi" w:hAnsiTheme="minorHAnsi" w:cstheme="minorHAnsi"/>
          <w:sz w:val="22"/>
          <w:szCs w:val="22"/>
        </w:rPr>
        <w:t>Σε περίπτωση που:</w:t>
      </w:r>
    </w:p>
    <w:p w14:paraId="15EAED25" w14:textId="77777777" w:rsidR="001D7F47" w:rsidRPr="00ED4FD5" w:rsidRDefault="001D7F47" w:rsidP="001D7F47">
      <w:pPr>
        <w:pStyle w:val="ListParagraph"/>
        <w:numPr>
          <w:ilvl w:val="1"/>
          <w:numId w:val="1"/>
        </w:numPr>
        <w:spacing w:before="0" w:after="83" w:line="287" w:lineRule="auto"/>
        <w:rPr>
          <w:rFonts w:asciiTheme="minorHAnsi" w:hAnsiTheme="minorHAnsi" w:cstheme="minorHAnsi"/>
          <w:sz w:val="22"/>
          <w:szCs w:val="22"/>
        </w:rPr>
      </w:pPr>
      <w:r w:rsidRPr="00ED4FD5">
        <w:rPr>
          <w:rFonts w:asciiTheme="minorHAnsi" w:hAnsiTheme="minorHAnsi" w:cstheme="minorHAnsi"/>
          <w:b/>
          <w:bCs/>
          <w:sz w:val="22"/>
          <w:szCs w:val="22"/>
          <w:u w:val="single"/>
          <w:lang w:val="el-GR"/>
        </w:rPr>
        <w:t>κατά την υλοποίηση</w:t>
      </w:r>
      <w:r w:rsidRPr="00ED4FD5">
        <w:rPr>
          <w:rFonts w:asciiTheme="minorHAnsi" w:hAnsiTheme="minorHAnsi" w:cstheme="minorHAnsi"/>
          <w:sz w:val="22"/>
          <w:szCs w:val="22"/>
          <w:lang w:val="el-GR"/>
        </w:rPr>
        <w:t xml:space="preserve">, οι Ε.Μ.Ε. που θα συγκεντρώσουν οι υφιστάμενοι εργαζόμενοι της επιχείρησης, σύμφωνα με τα εν ισχύ εβδομαδιαία προγράμματα εργασίας κατά τον τελικό έλεγχο, εφόσον αυτά διατηρηθούν ως έχουν για τους επόμενους δώδεκα (12) μήνες που έπονται του μήνα που θα υποβληθεί η τελική πιστοποίηση, προσαυξάνουν τις Ε.Μ.Ε. της επιχείρησης που συγκέντρωσε κατά το έτος 2024 κατά τουλάχιστον </w:t>
      </w:r>
      <w:r w:rsidRPr="00ED4FD5">
        <w:rPr>
          <w:rFonts w:asciiTheme="minorHAnsi" w:hAnsiTheme="minorHAnsi" w:cstheme="minorHAnsi"/>
          <w:sz w:val="22"/>
          <w:szCs w:val="22"/>
          <w:u w:val="single"/>
          <w:lang w:val="el-GR"/>
        </w:rPr>
        <w:t xml:space="preserve">μισή (0,5) </w:t>
      </w:r>
      <w:r w:rsidRPr="00ED4FD5">
        <w:rPr>
          <w:rFonts w:asciiTheme="minorHAnsi" w:hAnsiTheme="minorHAnsi" w:cstheme="minorHAnsi"/>
          <w:sz w:val="22"/>
          <w:szCs w:val="22"/>
          <w:lang w:val="el-GR"/>
        </w:rPr>
        <w:t xml:space="preserve">Ε.Μ.Ε. </w:t>
      </w:r>
      <w:r w:rsidRPr="00ED4FD5">
        <w:rPr>
          <w:rFonts w:asciiTheme="minorHAnsi" w:hAnsiTheme="minorHAnsi" w:cstheme="minorHAnsi"/>
          <w:b/>
          <w:bCs/>
          <w:sz w:val="22"/>
          <w:szCs w:val="22"/>
          <w:u w:val="single"/>
          <w:lang w:val="el-GR"/>
        </w:rPr>
        <w:t>ΑΛΛΑ</w:t>
      </w:r>
      <w:r w:rsidRPr="00ED4FD5">
        <w:rPr>
          <w:rFonts w:asciiTheme="minorHAnsi" w:hAnsiTheme="minorHAnsi" w:cstheme="minorHAnsi"/>
          <w:b/>
          <w:bCs/>
          <w:sz w:val="22"/>
          <w:szCs w:val="22"/>
          <w:lang w:val="el-GR"/>
        </w:rPr>
        <w:t xml:space="preserve"> </w:t>
      </w:r>
      <w:r w:rsidRPr="00ED4FD5">
        <w:rPr>
          <w:rFonts w:asciiTheme="minorHAnsi" w:hAnsiTheme="minorHAnsi" w:cstheme="minorHAnsi"/>
          <w:sz w:val="22"/>
          <w:szCs w:val="22"/>
          <w:lang w:val="el-GR"/>
        </w:rPr>
        <w:t>υπολείπονται των Ε.Μ.Ε. που η δικαιούχος δήλωσε/δεσμεύτηκε πως θα δημιουργήσει, δηλαδή (</w:t>
      </w:r>
      <w:r w:rsidRPr="00ED4FD5">
        <w:rPr>
          <w:rFonts w:asciiTheme="minorHAnsi" w:hAnsiTheme="minorHAnsi" w:cstheme="minorHAnsi"/>
          <w:b/>
          <w:bCs/>
          <w:sz w:val="22"/>
          <w:szCs w:val="22"/>
          <w:lang w:val="el-GR"/>
        </w:rPr>
        <w:t>1 &lt; Ε.Μ.Ε.μ.Αν.12μ - Ε.Μ.Ε.Ε.Β. &lt; Δ.Α.Α.</w:t>
      </w:r>
      <w:r w:rsidRPr="00ED4FD5">
        <w:rPr>
          <w:rFonts w:asciiTheme="minorHAnsi" w:hAnsiTheme="minorHAnsi" w:cstheme="minorHAnsi"/>
          <w:sz w:val="22"/>
          <w:szCs w:val="22"/>
          <w:lang w:val="el-GR"/>
        </w:rPr>
        <w:t xml:space="preserve">), τότε η </w:t>
      </w:r>
      <w:r w:rsidRPr="00ED4FD5">
        <w:rPr>
          <w:rFonts w:asciiTheme="minorHAnsi" w:hAnsiTheme="minorHAnsi" w:cstheme="minorHAnsi"/>
          <w:sz w:val="22"/>
          <w:szCs w:val="22"/>
          <w:lang w:val="el-GR"/>
        </w:rPr>
        <w:lastRenderedPageBreak/>
        <w:t xml:space="preserve">αίτηση αναβαθμολογείται ως προς το κριτήριο «Αύξηση Απασχόλησης» (την θέση του Δ.Α.Α. στον τύπο υπολογισμού του κριτηρίου παίρνει το αποτέλεσμα της αφαίρεσης Ε.Μ.Ε.μ.Αν.12μ - Ε.Μ.Ε.Ε.Β.)  </w:t>
      </w:r>
      <w:r w:rsidRPr="00ED4FD5">
        <w:rPr>
          <w:rFonts w:asciiTheme="minorHAnsi" w:hAnsiTheme="minorHAnsi" w:cstheme="minorHAnsi"/>
          <w:sz w:val="22"/>
          <w:szCs w:val="22"/>
        </w:rPr>
        <w:t>και εφόσον λαμβάνει συνολική βαθμολογία η οποία:</w:t>
      </w:r>
    </w:p>
    <w:p w14:paraId="7098548B" w14:textId="77777777" w:rsidR="001D7F47" w:rsidRPr="00ED4FD5" w:rsidRDefault="001D7F47" w:rsidP="001D7F47">
      <w:pPr>
        <w:pStyle w:val="ListParagraph"/>
        <w:numPr>
          <w:ilvl w:val="2"/>
          <w:numId w:val="1"/>
        </w:numPr>
        <w:spacing w:before="0" w:after="83" w:line="287" w:lineRule="auto"/>
        <w:ind w:left="2410" w:hanging="142"/>
        <w:rPr>
          <w:rFonts w:asciiTheme="minorHAnsi" w:hAnsiTheme="minorHAnsi" w:cstheme="minorHAnsi"/>
          <w:sz w:val="22"/>
          <w:szCs w:val="22"/>
          <w:lang w:val="el-GR"/>
        </w:rPr>
      </w:pPr>
      <w:bookmarkStart w:id="3" w:name="_Hlk151985641"/>
      <w:r w:rsidRPr="00ED4FD5">
        <w:rPr>
          <w:rFonts w:asciiTheme="minorHAnsi" w:hAnsiTheme="minorHAnsi" w:cstheme="minorHAnsi"/>
          <w:sz w:val="22"/>
          <w:szCs w:val="22"/>
          <w:u w:val="single"/>
          <w:lang w:val="el-GR"/>
        </w:rPr>
        <w:t>υπολείπεται</w:t>
      </w:r>
      <w:r w:rsidRPr="00ED4FD5">
        <w:rPr>
          <w:rFonts w:asciiTheme="minorHAnsi" w:hAnsiTheme="minorHAnsi" w:cstheme="minorHAnsi"/>
          <w:sz w:val="22"/>
          <w:szCs w:val="22"/>
          <w:lang w:val="el-GR"/>
        </w:rPr>
        <w:t xml:space="preserve"> αυτής που συγκέντρωσε η εγκεκριμένη αίτηση με την μικρότερη βαθμολογία για την εν λόγω περιοχή Εδαφικού Σχεδίου Δίκαιης Αναπτυξιακής Μετάβασης (δηλαδή η βαθμολογία που προκύπτει από την αναβαθμολόγηση είναι μικρότερη της βαθμολογικής βάσης ένταξης), τότε</w:t>
      </w:r>
      <w:bookmarkEnd w:id="3"/>
      <w:r w:rsidRPr="00ED4FD5">
        <w:rPr>
          <w:rFonts w:asciiTheme="minorHAnsi" w:hAnsiTheme="minorHAnsi" w:cstheme="minorHAnsi"/>
          <w:sz w:val="22"/>
          <w:szCs w:val="22"/>
          <w:lang w:val="el-GR"/>
        </w:rPr>
        <w:t xml:space="preserve"> </w:t>
      </w:r>
      <w:r w:rsidRPr="00ED4FD5">
        <w:rPr>
          <w:rFonts w:asciiTheme="minorHAnsi" w:hAnsiTheme="minorHAnsi" w:cstheme="minorHAnsi"/>
          <w:b/>
          <w:bCs/>
          <w:sz w:val="22"/>
          <w:szCs w:val="22"/>
          <w:lang w:val="el-GR"/>
        </w:rPr>
        <w:t>ΔΕΝ δύναται να εγκριθεί η τελική έκθεση ελέγχου</w:t>
      </w:r>
      <w:r w:rsidRPr="00ED4FD5">
        <w:rPr>
          <w:rFonts w:asciiTheme="minorHAnsi" w:hAnsiTheme="minorHAnsi" w:cstheme="minorHAnsi"/>
          <w:sz w:val="22"/>
          <w:szCs w:val="22"/>
          <w:lang w:val="el-GR"/>
        </w:rPr>
        <w:t xml:space="preserve">, </w:t>
      </w:r>
      <w:r w:rsidRPr="00ED4FD5">
        <w:rPr>
          <w:rFonts w:asciiTheme="minorHAnsi" w:hAnsiTheme="minorHAnsi" w:cstheme="minorHAnsi"/>
          <w:b/>
          <w:bCs/>
          <w:sz w:val="22"/>
          <w:szCs w:val="22"/>
          <w:lang w:val="el-GR"/>
        </w:rPr>
        <w:t>το έργο οδηγείται σε απένταξη και τυχόν καταβληθείσα δημόσια χρηματοδότηση, λογίζεται ως αχρεωστήτως καταβληθείσα και πρέπει να επιστραφεί εντόκως.</w:t>
      </w:r>
    </w:p>
    <w:p w14:paraId="1EF049DD" w14:textId="77777777" w:rsidR="001D7F47" w:rsidRPr="00ED4FD5" w:rsidRDefault="001D7F47" w:rsidP="001D7F47">
      <w:pPr>
        <w:pStyle w:val="ListParagraph"/>
        <w:numPr>
          <w:ilvl w:val="2"/>
          <w:numId w:val="1"/>
        </w:numPr>
        <w:spacing w:before="0" w:after="83" w:line="287" w:lineRule="auto"/>
        <w:ind w:left="2410" w:hanging="142"/>
        <w:rPr>
          <w:rFonts w:asciiTheme="minorHAnsi" w:hAnsiTheme="minorHAnsi" w:cstheme="minorHAnsi"/>
          <w:sz w:val="22"/>
          <w:szCs w:val="22"/>
          <w:lang w:val="el-GR"/>
        </w:rPr>
      </w:pPr>
      <w:r w:rsidRPr="00ED4FD5">
        <w:rPr>
          <w:rFonts w:asciiTheme="minorHAnsi" w:hAnsiTheme="minorHAnsi" w:cstheme="minorHAnsi"/>
          <w:sz w:val="22"/>
          <w:szCs w:val="22"/>
          <w:u w:val="single"/>
          <w:lang w:val="el-GR"/>
        </w:rPr>
        <w:t>είναι ίση ή μεγαλύτερη</w:t>
      </w:r>
      <w:r w:rsidRPr="00ED4FD5">
        <w:rPr>
          <w:rFonts w:asciiTheme="minorHAnsi" w:hAnsiTheme="minorHAnsi" w:cstheme="minorHAnsi"/>
          <w:sz w:val="22"/>
          <w:szCs w:val="22"/>
          <w:lang w:val="el-GR"/>
        </w:rPr>
        <w:t xml:space="preserve"> αυτής που συγκέντρωσε η εγκεκριμένη αίτηση με την μικρότερη βαθμολογία για την εν λόγω περιοχή Εδαφικού Σχεδίου Δίκαιης Αναπτυξιακής Μετάβασης (δηλαδή η βαθμολογία που προκύπτει από την αναβαθμολόγηση είναι ίση ή μεγαλύτερη της βαθμολογικής βάσης ένταξης), τότε επιβάλλεται ποινή μείωσης/μη καταβολής (ή/και ανάκτησης) της αναλογούσας δημόσιας χρηματοδότησης η οποία προκύπτει από τον εξής τύπο </w:t>
      </w:r>
      <w:r w:rsidRPr="00ED4FD5">
        <w:rPr>
          <w:rFonts w:asciiTheme="minorHAnsi" w:hAnsiTheme="minorHAnsi" w:cstheme="minorHAnsi"/>
          <w:b/>
          <w:bCs/>
          <w:sz w:val="22"/>
          <w:szCs w:val="22"/>
          <w:lang w:val="el-GR"/>
        </w:rPr>
        <w:t>[(Ε.Μ.Ε.Ε.Β. + Δ.Α.Α.) - Ε.Μ.Ε.μ.Αν.12μ] * 0,25 * Α.Τ.Π.Δ.Χ.</w:t>
      </w:r>
      <w:r w:rsidRPr="00ED4FD5">
        <w:rPr>
          <w:rFonts w:asciiTheme="minorHAnsi" w:hAnsiTheme="minorHAnsi" w:cstheme="minorHAnsi"/>
          <w:sz w:val="22"/>
          <w:szCs w:val="22"/>
          <w:lang w:val="el-GR"/>
        </w:rPr>
        <w:t xml:space="preserve"> </w:t>
      </w:r>
      <w:r w:rsidRPr="00ED4FD5">
        <w:rPr>
          <w:rFonts w:asciiTheme="minorHAnsi" w:hAnsiTheme="minorHAnsi" w:cstheme="minorHAnsi"/>
          <w:i/>
          <w:iCs/>
          <w:sz w:val="22"/>
          <w:szCs w:val="22"/>
          <w:lang w:val="el-GR"/>
        </w:rPr>
        <w:t>Σε αυτή την περίπτωση, η υποχρέωση διατήρησης για τους επόμενους δώδεκα μήνες είναι πλέον οι Ε.Μ.Ε. που θα συγκεντρώσουν οι υφιστάμενοι εργαζόμενοι της επιχείρησης, σύμφωνα με τα εν ισχύ εβδομαδιαία προγράμματα εργασίας κατά τον τελικό έλεγχο, εφόσον αυτά διατηρηθούν.</w:t>
      </w:r>
    </w:p>
    <w:p w14:paraId="034E7662" w14:textId="77777777" w:rsidR="001D7F47" w:rsidRPr="00ED4FD5" w:rsidRDefault="001D7F47" w:rsidP="001D7F47">
      <w:pPr>
        <w:pStyle w:val="ListParagraph"/>
        <w:numPr>
          <w:ilvl w:val="1"/>
          <w:numId w:val="1"/>
        </w:numPr>
        <w:spacing w:before="0" w:after="83" w:line="287" w:lineRule="auto"/>
        <w:rPr>
          <w:rFonts w:asciiTheme="minorHAnsi" w:hAnsiTheme="minorHAnsi" w:cstheme="minorHAnsi"/>
          <w:sz w:val="22"/>
          <w:szCs w:val="22"/>
          <w:lang w:val="el-GR"/>
        </w:rPr>
      </w:pPr>
      <w:r w:rsidRPr="00ED4FD5">
        <w:rPr>
          <w:rFonts w:asciiTheme="minorHAnsi" w:hAnsiTheme="minorHAnsi" w:cstheme="minorHAnsi"/>
          <w:b/>
          <w:bCs/>
          <w:sz w:val="22"/>
          <w:szCs w:val="22"/>
          <w:u w:val="single"/>
          <w:lang w:val="el-GR"/>
        </w:rPr>
        <w:t>κατά τον έλεγχο διατήρησης των Ε.Μ.Ε. παράλληλα με τις υφιστάμενες θέσεις απασχόλησης του έτους βάσης, για τους δώδεκα (12) μήνες που έπονται του μήνα που πιστοποιήθηκε η ολοκλήρωση της επένδυσής</w:t>
      </w:r>
      <w:r w:rsidRPr="00ED4FD5">
        <w:rPr>
          <w:rFonts w:asciiTheme="minorHAnsi" w:hAnsiTheme="minorHAnsi" w:cstheme="minorHAnsi"/>
          <w:sz w:val="22"/>
          <w:szCs w:val="22"/>
          <w:lang w:val="el-GR"/>
        </w:rPr>
        <w:t xml:space="preserve"> (δηλαδή κατά τον έλεγχο των μακροχρόνιων υποχρεώσεων) και εφόσον οι Ε.Μ.Ε. που συγκέντρωσε η επιχείρηση κατά το προαναφερθέν χρονικό διάστημα, </w:t>
      </w:r>
      <w:r w:rsidRPr="00ED4FD5">
        <w:rPr>
          <w:rFonts w:asciiTheme="minorHAnsi" w:hAnsiTheme="minorHAnsi" w:cstheme="minorHAnsi"/>
          <w:sz w:val="22"/>
          <w:szCs w:val="22"/>
          <w:u w:val="single"/>
          <w:lang w:val="el-GR"/>
        </w:rPr>
        <w:t>υπολείπονται</w:t>
      </w:r>
      <w:r w:rsidRPr="00ED4FD5">
        <w:rPr>
          <w:rFonts w:asciiTheme="minorHAnsi" w:hAnsiTheme="minorHAnsi" w:cstheme="minorHAnsi"/>
          <w:sz w:val="22"/>
          <w:szCs w:val="22"/>
          <w:lang w:val="el-GR"/>
        </w:rPr>
        <w:t xml:space="preserve"> αυτών του έτους βάσης, προσαυξημένες με αυτές που είχε δηλώσει/δεσμευτεί πως θα αυξήσει (Δ.Α.Α. ή των Ε.Μ.Ε. που προέκυψαν ως υποχρέωση διατήρησης από το παραπάνω βήμα </w:t>
      </w:r>
      <w:r w:rsidRPr="00ED4FD5">
        <w:rPr>
          <w:rFonts w:asciiTheme="minorHAnsi" w:hAnsiTheme="minorHAnsi" w:cstheme="minorHAnsi"/>
          <w:sz w:val="22"/>
          <w:szCs w:val="22"/>
        </w:rPr>
        <w:t>aii</w:t>
      </w:r>
      <w:r w:rsidRPr="00ED4FD5">
        <w:rPr>
          <w:rFonts w:asciiTheme="minorHAnsi" w:hAnsiTheme="minorHAnsi" w:cstheme="minorHAnsi"/>
          <w:sz w:val="22"/>
          <w:szCs w:val="22"/>
          <w:lang w:val="el-GR"/>
        </w:rPr>
        <w:t>) τότε η αίτηση αναβαθμολογείται ως προς το κριτήριο «Αύξηση Απασχόλησης» (την θέση του Δ.Α.Α. στον τύπο υπολογισμού του κριτηρίου παίρνει το αποτέλεσμα της αφαίρεσης Ε.Μ.Ε.Π.Ε.Μ.Υ. - Ε.Μ.Ε.Ε.Β.) και:</w:t>
      </w:r>
    </w:p>
    <w:p w14:paraId="742051EF" w14:textId="77777777" w:rsidR="001D7F47" w:rsidRPr="00ED4FD5" w:rsidRDefault="001D7F47" w:rsidP="001D7F47">
      <w:pPr>
        <w:pStyle w:val="ListParagraph"/>
        <w:numPr>
          <w:ilvl w:val="2"/>
          <w:numId w:val="1"/>
        </w:numPr>
        <w:spacing w:before="0" w:after="83" w:line="287" w:lineRule="auto"/>
        <w:ind w:left="2410" w:hanging="142"/>
        <w:rPr>
          <w:rFonts w:asciiTheme="minorHAnsi" w:hAnsiTheme="minorHAnsi" w:cstheme="minorHAnsi"/>
          <w:sz w:val="22"/>
          <w:szCs w:val="22"/>
          <w:lang w:val="el-GR"/>
        </w:rPr>
      </w:pPr>
      <w:r w:rsidRPr="00ED4FD5">
        <w:rPr>
          <w:rFonts w:asciiTheme="minorHAnsi" w:hAnsiTheme="minorHAnsi" w:cstheme="minorHAnsi"/>
          <w:sz w:val="22"/>
          <w:szCs w:val="22"/>
          <w:lang w:val="el-GR"/>
        </w:rPr>
        <w:t>εφόσον η αίτηση λαμβάνει συνολική βαθμολογία η οποία υπολείπεται αυτής που συγκέντρωσε η εγκεκριμένη αίτηση με την μικρότερη βαθμολογία για την εν λόγω περιοχή Εδαφικού Σχεδίου Δίκαιης Αναπτυξιακής Μετάβασης (δηλαδή η βαθμολογία που προκύπτει από την αναβαθμολόγηση είναι μικρότερη της βαθμολογικής βάσης ένταξης), τότε η καταβληθείσα δημόσια χρηματοδότηση, λογίζεται ως αχρεωστήτως καταβληθείσα και πρέπει να επιστραφεί εντόκως.</w:t>
      </w:r>
    </w:p>
    <w:p w14:paraId="16F430D8" w14:textId="77777777" w:rsidR="001D7F47" w:rsidRPr="00ED4FD5" w:rsidRDefault="001D7F47" w:rsidP="001D7F47">
      <w:pPr>
        <w:pStyle w:val="ListParagraph"/>
        <w:numPr>
          <w:ilvl w:val="2"/>
          <w:numId w:val="1"/>
        </w:numPr>
        <w:spacing w:before="0" w:after="83" w:line="287" w:lineRule="auto"/>
        <w:ind w:left="2410" w:hanging="142"/>
        <w:rPr>
          <w:rFonts w:asciiTheme="minorHAnsi" w:hAnsiTheme="minorHAnsi" w:cstheme="minorHAnsi"/>
          <w:sz w:val="22"/>
          <w:szCs w:val="22"/>
        </w:rPr>
      </w:pPr>
      <w:r w:rsidRPr="00ED4FD5">
        <w:rPr>
          <w:rFonts w:asciiTheme="minorHAnsi" w:hAnsiTheme="minorHAnsi" w:cstheme="minorHAnsi"/>
          <w:sz w:val="22"/>
          <w:szCs w:val="22"/>
          <w:lang w:val="el-GR"/>
        </w:rPr>
        <w:lastRenderedPageBreak/>
        <w:t>εφόσον η αίτηση λαμβάνει βαθμολογία η οποία είναι ίση ή μεγαλύτερη αυτής που συγκέντρωσε η εγκεκριμένη αίτηση με την μικρότερη βαθμολογία για την εν λόγω περιοχή Εδαφικού Σχεδίου Δίκαιης Αναπτυξιακής Μετάβασης (δηλαδή η βαθμολογία που προκύπτει από την αναβαθμολόγηση είναι ίση ή μεγαλύτερη της βαθμολογικής βάσης ένταξης), τότε εφόσον (Ε.Μ.Ε.Π.Ε.Μ.Υ. - Ε.Μ.Ε.Ε.Β.) ≥ 0,90</w:t>
      </w:r>
      <w:r w:rsidRPr="00ED4FD5">
        <w:rPr>
          <w:rFonts w:asciiTheme="minorHAnsi" w:hAnsiTheme="minorHAnsi" w:cstheme="minorHAnsi"/>
          <w:b/>
          <w:bCs/>
          <w:sz w:val="22"/>
          <w:szCs w:val="22"/>
          <w:lang w:val="el-GR"/>
        </w:rPr>
        <w:t xml:space="preserve"> </w:t>
      </w:r>
      <w:r w:rsidRPr="00ED4FD5">
        <w:rPr>
          <w:rFonts w:asciiTheme="minorHAnsi" w:hAnsiTheme="minorHAnsi" w:cstheme="minorHAnsi"/>
          <w:b/>
          <w:bCs/>
          <w:sz w:val="22"/>
          <w:szCs w:val="22"/>
          <w:u w:val="single"/>
          <w:lang w:val="el-GR"/>
        </w:rPr>
        <w:t>&amp;</w:t>
      </w:r>
      <w:r w:rsidRPr="00ED4FD5">
        <w:rPr>
          <w:rFonts w:asciiTheme="minorHAnsi" w:hAnsiTheme="minorHAnsi" w:cstheme="minorHAnsi"/>
          <w:b/>
          <w:bCs/>
          <w:sz w:val="22"/>
          <w:szCs w:val="22"/>
          <w:lang w:val="el-GR"/>
        </w:rPr>
        <w:t xml:space="preserve"> </w:t>
      </w:r>
      <w:r w:rsidRPr="00ED4FD5">
        <w:rPr>
          <w:rFonts w:asciiTheme="minorHAnsi" w:hAnsiTheme="minorHAnsi" w:cstheme="minorHAnsi"/>
          <w:b/>
          <w:bCs/>
          <w:sz w:val="22"/>
          <w:szCs w:val="22"/>
          <w:u w:val="single"/>
          <w:lang w:val="el-GR"/>
        </w:rPr>
        <w:t>(Ε.Μ.Ε.μ.Αν.12μ - Ε.Μ.Ε.Π.Ε.Μ.Υ.) &gt; 0</w:t>
      </w:r>
      <w:r w:rsidRPr="00ED4FD5">
        <w:rPr>
          <w:rFonts w:asciiTheme="minorHAnsi" w:hAnsiTheme="minorHAnsi" w:cstheme="minorHAnsi"/>
          <w:sz w:val="22"/>
          <w:szCs w:val="22"/>
          <w:lang w:val="el-GR"/>
        </w:rPr>
        <w:t xml:space="preserve">, τότε </w:t>
      </w:r>
      <w:r w:rsidRPr="00ED4FD5">
        <w:rPr>
          <w:rFonts w:asciiTheme="minorHAnsi" w:hAnsiTheme="minorHAnsi" w:cstheme="minorHAnsi"/>
          <w:b/>
          <w:bCs/>
          <w:sz w:val="22"/>
          <w:szCs w:val="22"/>
          <w:lang w:val="el-GR"/>
        </w:rPr>
        <w:t xml:space="preserve">μέρος της καταβληθείσας δημόσιας χρηματοδότησης, λογίζεται ως αχρεωστήτως καταβληθείσα και πρέπει να επιστραφεί εντόκως. </w:t>
      </w:r>
      <w:r w:rsidRPr="00ED4FD5">
        <w:rPr>
          <w:rFonts w:asciiTheme="minorHAnsi" w:hAnsiTheme="minorHAnsi" w:cstheme="minorHAnsi"/>
          <w:sz w:val="22"/>
          <w:szCs w:val="22"/>
          <w:lang w:val="el-GR"/>
        </w:rPr>
        <w:t>Το ποσό επιστροφής υπολογίζεται από τον εξής τύπο:</w:t>
      </w:r>
      <w:r w:rsidRPr="00ED4FD5">
        <w:rPr>
          <w:rFonts w:asciiTheme="minorHAnsi" w:hAnsiTheme="minorHAnsi" w:cstheme="minorHAnsi"/>
          <w:b/>
          <w:bCs/>
          <w:sz w:val="22"/>
          <w:szCs w:val="22"/>
          <w:lang w:val="el-GR"/>
        </w:rPr>
        <w:t xml:space="preserve"> (</w:t>
      </w:r>
      <w:r w:rsidRPr="00ED4FD5">
        <w:rPr>
          <w:rFonts w:asciiTheme="minorHAnsi" w:hAnsiTheme="minorHAnsi" w:cstheme="minorHAnsi"/>
          <w:b/>
          <w:bCs/>
          <w:sz w:val="22"/>
          <w:szCs w:val="22"/>
          <w:u w:val="single"/>
          <w:lang w:val="el-GR"/>
        </w:rPr>
        <w:t>Ε.Μ.Ε.μ.Αν.12μ - Ε.Μ.Ε.Π.Ε.Μ.Υ.</w:t>
      </w:r>
      <w:r w:rsidRPr="00ED4FD5">
        <w:rPr>
          <w:rFonts w:asciiTheme="minorHAnsi" w:hAnsiTheme="minorHAnsi" w:cstheme="minorHAnsi"/>
          <w:b/>
          <w:bCs/>
          <w:sz w:val="22"/>
          <w:szCs w:val="22"/>
          <w:lang w:val="el-GR"/>
        </w:rPr>
        <w:t xml:space="preserve">) </w:t>
      </w:r>
      <w:r w:rsidRPr="00ED4FD5">
        <w:rPr>
          <w:rFonts w:asciiTheme="minorHAnsi" w:hAnsiTheme="minorHAnsi" w:cstheme="minorHAnsi"/>
          <w:b/>
          <w:bCs/>
          <w:sz w:val="22"/>
          <w:szCs w:val="22"/>
        </w:rPr>
        <w:t>* 0,25 * Τ.Κ.Δ.Χ. * επιτόκιο</w:t>
      </w:r>
    </w:p>
    <w:p w14:paraId="310291FB" w14:textId="77777777" w:rsidR="001D7F47" w:rsidRPr="00ED4FD5" w:rsidRDefault="001D7F47" w:rsidP="001D7F47">
      <w:pPr>
        <w:rPr>
          <w:rFonts w:asciiTheme="minorHAnsi" w:hAnsiTheme="minorHAnsi" w:cstheme="minorHAnsi"/>
          <w:sz w:val="22"/>
          <w:szCs w:val="22"/>
          <w:lang w:val="el-GR"/>
        </w:rPr>
      </w:pPr>
    </w:p>
    <w:p w14:paraId="4AA716E9" w14:textId="77777777" w:rsidR="001D7F47" w:rsidRPr="00ED4FD5" w:rsidRDefault="001D7F47" w:rsidP="001D7F47">
      <w:pPr>
        <w:rPr>
          <w:rFonts w:asciiTheme="minorHAnsi" w:hAnsiTheme="minorHAnsi" w:cstheme="minorHAnsi"/>
          <w:sz w:val="22"/>
          <w:szCs w:val="22"/>
          <w:lang w:val="el-GR"/>
        </w:rPr>
      </w:pPr>
      <w:r w:rsidRPr="00ED4FD5">
        <w:rPr>
          <w:rFonts w:asciiTheme="minorHAnsi" w:hAnsiTheme="minorHAnsi" w:cstheme="minorHAnsi"/>
          <w:sz w:val="22"/>
          <w:szCs w:val="22"/>
          <w:lang w:val="el-GR"/>
        </w:rPr>
        <w:t>Το εκάστοτε ποσό επιστροφής υπολογίζεται σύμφωνα με τα οριζόμενα στην με Α.Π. 5483/20.01.2023 Κοινή Απόφαση των Υπουργών Οικονομικών - Ανάπτυξης και Επενδύσεων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(ΦΕΚ 390/Β/30-01-2023).</w:t>
      </w:r>
    </w:p>
    <w:p w14:paraId="0726C27D" w14:textId="77777777" w:rsidR="001D7F47" w:rsidRPr="00ED4FD5" w:rsidRDefault="001D7F47" w:rsidP="001D7F47">
      <w:pPr>
        <w:rPr>
          <w:rFonts w:asciiTheme="minorHAnsi" w:hAnsiTheme="minorHAnsi" w:cstheme="minorHAnsi"/>
          <w:b/>
          <w:bCs/>
          <w:sz w:val="22"/>
          <w:szCs w:val="22"/>
          <w:u w:val="single"/>
        </w:rPr>
      </w:pPr>
      <w:r w:rsidRPr="00ED4FD5">
        <w:rPr>
          <w:rFonts w:asciiTheme="minorHAnsi" w:hAnsiTheme="minorHAnsi" w:cstheme="minorHAnsi"/>
          <w:b/>
          <w:bCs/>
          <w:sz w:val="22"/>
          <w:szCs w:val="22"/>
          <w:u w:val="single"/>
        </w:rPr>
        <w:t>Παράδειγμα:</w:t>
      </w:r>
    </w:p>
    <w:p w14:paraId="74FFE0B7" w14:textId="77777777" w:rsidR="001D7F47" w:rsidRPr="00ED4FD5" w:rsidRDefault="001D7F47" w:rsidP="001D7F47">
      <w:pPr>
        <w:pStyle w:val="ListParagraph"/>
        <w:numPr>
          <w:ilvl w:val="0"/>
          <w:numId w:val="3"/>
        </w:numPr>
        <w:spacing w:before="0" w:after="160" w:line="259" w:lineRule="auto"/>
        <w:rPr>
          <w:rFonts w:asciiTheme="minorHAnsi" w:hAnsiTheme="minorHAnsi" w:cstheme="minorHAnsi"/>
          <w:sz w:val="22"/>
          <w:szCs w:val="22"/>
        </w:rPr>
      </w:pPr>
      <w:r w:rsidRPr="00ED4FD5">
        <w:rPr>
          <w:rFonts w:asciiTheme="minorHAnsi" w:hAnsiTheme="minorHAnsi" w:cstheme="minorHAnsi"/>
          <w:sz w:val="22"/>
          <w:szCs w:val="22"/>
        </w:rPr>
        <w:t>Βάση Ένταξης 70 μονάδες</w:t>
      </w:r>
    </w:p>
    <w:p w14:paraId="175CCC3C" w14:textId="77777777" w:rsidR="001D7F47" w:rsidRPr="00ED4FD5" w:rsidRDefault="001D7F47" w:rsidP="001D7F47">
      <w:pPr>
        <w:pStyle w:val="ListParagraph"/>
        <w:numPr>
          <w:ilvl w:val="0"/>
          <w:numId w:val="3"/>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Αίτηση δικαιούχου έλαβε 85 μονάδες δηλώνοντας ότι θα αυξήσει την απασχόληση κατά 1,5 ΕΜΕ και κατά το έτος 2024, σύμφωνα με στοιχεία του Π.Σ. ΕΡΓΑΝΗ απασχόλησε 1 ΕΜΕ.</w:t>
      </w:r>
    </w:p>
    <w:p w14:paraId="5E13E818" w14:textId="77777777" w:rsidR="001D7F47" w:rsidRPr="00ED4FD5" w:rsidRDefault="001D7F47" w:rsidP="001D7F47">
      <w:pPr>
        <w:pStyle w:val="ListParagraph"/>
        <w:numPr>
          <w:ilvl w:val="0"/>
          <w:numId w:val="3"/>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Υποβάλλει αίτημα τελικού ελέγχου και αιτείται Δ.Χ. 50.000€ (έστω δεν υπάρχουν περικοπές)</w:t>
      </w:r>
    </w:p>
    <w:p w14:paraId="3CBBD9CE" w14:textId="77777777" w:rsidR="001D7F47" w:rsidRPr="00ED4FD5" w:rsidRDefault="001D7F47" w:rsidP="001D7F47">
      <w:pPr>
        <w:rPr>
          <w:rFonts w:asciiTheme="minorHAnsi" w:hAnsiTheme="minorHAnsi" w:cstheme="minorHAnsi"/>
          <w:sz w:val="22"/>
          <w:szCs w:val="22"/>
          <w:lang w:val="el-GR"/>
        </w:rPr>
      </w:pPr>
      <w:r w:rsidRPr="00ED4FD5">
        <w:rPr>
          <w:rFonts w:asciiTheme="minorHAnsi" w:hAnsiTheme="minorHAnsi" w:cstheme="minorHAnsi"/>
          <w:sz w:val="22"/>
          <w:szCs w:val="22"/>
          <w:lang w:val="el-GR"/>
        </w:rPr>
        <w:t xml:space="preserve">Τότε, σε περίπτωση που </w:t>
      </w:r>
      <w:r w:rsidRPr="00ED4FD5">
        <w:rPr>
          <w:rFonts w:asciiTheme="minorHAnsi" w:hAnsiTheme="minorHAnsi" w:cstheme="minorHAnsi"/>
          <w:sz w:val="22"/>
          <w:szCs w:val="22"/>
          <w:u w:val="single"/>
          <w:lang w:val="el-GR"/>
        </w:rPr>
        <w:t>κατά την ημερομηνία ελέγχου</w:t>
      </w:r>
      <w:r w:rsidRPr="00ED4FD5">
        <w:rPr>
          <w:rFonts w:asciiTheme="minorHAnsi" w:hAnsiTheme="minorHAnsi" w:cstheme="minorHAnsi"/>
          <w:sz w:val="22"/>
          <w:szCs w:val="22"/>
          <w:lang w:val="el-GR"/>
        </w:rPr>
        <w:t xml:space="preserve"> διαπιστωθεί ότι:</w:t>
      </w:r>
    </w:p>
    <w:p w14:paraId="0D9F7BB2" w14:textId="77777777" w:rsidR="001D7F47" w:rsidRPr="00ED4FD5" w:rsidRDefault="001D7F47" w:rsidP="001D7F47">
      <w:pPr>
        <w:pStyle w:val="ListParagraph"/>
        <w:numPr>
          <w:ilvl w:val="0"/>
          <w:numId w:val="4"/>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 xml:space="preserve">απασχολεί δύο (2) εργαζόμενους με πλήρη απασχόληση (40  ώρες την εβδομάδα) </w:t>
      </w:r>
      <w:bookmarkStart w:id="4" w:name="_Hlk155946217"/>
      <w:r w:rsidRPr="00ED4FD5">
        <w:rPr>
          <w:rFonts w:asciiTheme="minorHAnsi" w:hAnsiTheme="minorHAnsi" w:cstheme="minorHAnsi"/>
          <w:sz w:val="22"/>
          <w:szCs w:val="22"/>
          <w:lang w:val="el-GR"/>
        </w:rPr>
        <w:t>και έναν (1) με μερική (20 ώρες την εβδομάδα)</w:t>
      </w:r>
      <w:bookmarkEnd w:id="4"/>
      <w:r w:rsidRPr="00ED4FD5">
        <w:rPr>
          <w:rFonts w:asciiTheme="minorHAnsi" w:hAnsiTheme="minorHAnsi" w:cstheme="minorHAnsi"/>
          <w:sz w:val="22"/>
          <w:szCs w:val="22"/>
          <w:lang w:val="el-GR"/>
        </w:rPr>
        <w:t>, ο έλεγχος κλείνει θετικά χωρίς αναβαθμολόγηση / ποινή και καταβάλλεται στην επιχείρηση το σύνολο της Δ.Χ., διότι αν διατηρηθούν τα προαναφερθέντα ωράρια των εργαζομένων, οι ΕΜΕ που αυτοί θα συγκεντρώσουν στο επόμενο δωδεκάμηνο θα είναι ίσα με δυομιση (2,5) ΕΜΕ το οποίο καλύπτει την υποχρέωση για ΕΜΕ του 2024 σύν (+) την δηλωθείσα αύξηση.</w:t>
      </w:r>
    </w:p>
    <w:p w14:paraId="3A59168F" w14:textId="77777777" w:rsidR="001D7F47" w:rsidRPr="00ED4FD5" w:rsidRDefault="001D7F47" w:rsidP="001D7F47">
      <w:pPr>
        <w:pStyle w:val="ListParagraph"/>
        <w:numPr>
          <w:ilvl w:val="0"/>
          <w:numId w:val="4"/>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 xml:space="preserve">απασχολεί έναν (1) εργαζόμενο με πλήρη απασχόληση (40 ώρες την εβδομάδα) και έναν με μερική απασχόληση (10 ώρες την εβδομάδα), το έργο οδηγείται σε απένταξη και τυχόν ληφθείσα Δ.Χ. επιστρέφεται εντόκως, διότι κατά τον έλεγχο βάσει διαθέσιμων στοιχείων, δεν θα τηρήθουν τα δηλωθέντα και συγκεκριμένα η τυπική προυπόθεση που υπαγορεύει </w:t>
      </w:r>
      <w:r w:rsidRPr="00ED4FD5">
        <w:rPr>
          <w:rFonts w:asciiTheme="minorHAnsi" w:hAnsiTheme="minorHAnsi" w:cstheme="minorHAnsi"/>
          <w:sz w:val="22"/>
          <w:szCs w:val="22"/>
          <w:u w:val="single"/>
          <w:lang w:val="el-GR"/>
        </w:rPr>
        <w:t>ελάχιστη</w:t>
      </w:r>
      <w:r w:rsidRPr="00ED4FD5">
        <w:rPr>
          <w:rFonts w:asciiTheme="minorHAnsi" w:hAnsiTheme="minorHAnsi" w:cstheme="minorHAnsi"/>
          <w:sz w:val="22"/>
          <w:szCs w:val="22"/>
          <w:lang w:val="el-GR"/>
        </w:rPr>
        <w:t xml:space="preserve"> αύξηση απασχόλησης κατά 0,5  τουλάχιστον ΕΜΕ. Διότι αν διατηρηθούν τα προαναφερθέντα ωράρια των εργαζομένων, οι ΕΜΕ που αυτοί θα συγκεντρώσουν στο επόμενο δωδεκάμηνο θα είναι ίσα με 1,25 ΕΜΕ, τα οποία υπολείπονται από την ελάχιστη υποχρέωση για αύξηση των </w:t>
      </w:r>
      <w:bookmarkStart w:id="5" w:name="_Hlk155942069"/>
      <w:r w:rsidRPr="00ED4FD5">
        <w:rPr>
          <w:rFonts w:asciiTheme="minorHAnsi" w:hAnsiTheme="minorHAnsi" w:cstheme="minorHAnsi"/>
          <w:sz w:val="22"/>
          <w:szCs w:val="22"/>
          <w:lang w:val="el-GR"/>
        </w:rPr>
        <w:t>ΕΜΕ του 202</w:t>
      </w:r>
      <w:bookmarkEnd w:id="5"/>
      <w:r w:rsidRPr="00ED4FD5">
        <w:rPr>
          <w:rFonts w:asciiTheme="minorHAnsi" w:hAnsiTheme="minorHAnsi" w:cstheme="minorHAnsi"/>
          <w:sz w:val="22"/>
          <w:szCs w:val="22"/>
          <w:lang w:val="el-GR"/>
        </w:rPr>
        <w:t>4 κατά  μισή (0,5) ΕΜΕ (εν προκειμένου 1 + 0,5 = 1,5 ΕΜΕ).</w:t>
      </w:r>
    </w:p>
    <w:p w14:paraId="06C33CF3" w14:textId="77777777" w:rsidR="001D7F47" w:rsidRPr="00ED4FD5" w:rsidRDefault="001D7F47" w:rsidP="001D7F47">
      <w:pPr>
        <w:pStyle w:val="ListParagraph"/>
        <w:numPr>
          <w:ilvl w:val="0"/>
          <w:numId w:val="4"/>
        </w:numPr>
        <w:spacing w:before="0" w:after="160" w:line="259" w:lineRule="auto"/>
        <w:rPr>
          <w:rFonts w:asciiTheme="minorHAnsi" w:hAnsiTheme="minorHAnsi" w:cstheme="minorHAnsi"/>
          <w:sz w:val="22"/>
          <w:szCs w:val="22"/>
          <w:lang w:val="el-GR"/>
        </w:rPr>
      </w:pPr>
      <w:bookmarkStart w:id="6" w:name="_Hlk155944953"/>
      <w:r w:rsidRPr="00ED4FD5">
        <w:rPr>
          <w:rFonts w:asciiTheme="minorHAnsi" w:hAnsiTheme="minorHAnsi" w:cstheme="minorHAnsi"/>
          <w:sz w:val="22"/>
          <w:szCs w:val="22"/>
          <w:lang w:val="el-GR"/>
        </w:rPr>
        <w:t>απασχολεί δύο (2) εργαζόμενους με πλήρη απασχόληση (40 ώρες την εβδομάδα) επειδή καλύπτει την ελάχιστη τυπική υποχρέωση για αύξηση των ΕΜΕ του 2024 κατά  μισή (0,5) ΕΜΕ (εν προκειμένου 2 ΕΜΕ) ΑΛΛΑ υπολείπεται του δηλωμένου στόχου (1 + 1,5 = 2,5) θα γίνει αναβαθμολόγιση για να διαπιστωθεί αν με την αύξηση κατά μισή (0,5) ΕΜΕ, η βαθμολογία που συγκεντρώνει η αίτηση εξακολουθεί να είναι πάνω από την βάση ένταξης και εφόσον:</w:t>
      </w:r>
    </w:p>
    <w:p w14:paraId="0B05F752" w14:textId="77777777" w:rsidR="001D7F47" w:rsidRPr="00ED4FD5" w:rsidRDefault="001D7F47" w:rsidP="001D7F47">
      <w:pPr>
        <w:pStyle w:val="ListParagraph"/>
        <w:numPr>
          <w:ilvl w:val="1"/>
          <w:numId w:val="5"/>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lastRenderedPageBreak/>
        <w:t>η βαθμολογία είναι πάνω ή ίση με την βάση, θα επιβληθεί ποινή για μη επίτευξη στόχου.</w:t>
      </w:r>
    </w:p>
    <w:p w14:paraId="7EEDAB60" w14:textId="77777777" w:rsidR="001D7F47" w:rsidRPr="00ED4FD5" w:rsidRDefault="001D7F47" w:rsidP="001D7F47">
      <w:pPr>
        <w:pStyle w:val="ListParagraph"/>
        <w:numPr>
          <w:ilvl w:val="1"/>
          <w:numId w:val="5"/>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είναι κάτω από τη βάση ένταξης το έργο οδηγείται σε απένταξη και τυχόν ληφθείσα Δ.Χ. επιστρέφεται εντόκως.</w:t>
      </w:r>
      <w:bookmarkEnd w:id="6"/>
    </w:p>
    <w:p w14:paraId="7ED4709E" w14:textId="77777777" w:rsidR="001D7F47" w:rsidRPr="00ED4FD5" w:rsidRDefault="001D7F47" w:rsidP="001D7F47">
      <w:pPr>
        <w:rPr>
          <w:rFonts w:asciiTheme="minorHAnsi" w:hAnsiTheme="minorHAnsi" w:cstheme="minorHAnsi"/>
          <w:sz w:val="22"/>
          <w:szCs w:val="22"/>
          <w:lang w:val="el-GR"/>
        </w:rPr>
      </w:pPr>
      <w:r w:rsidRPr="00ED4FD5">
        <w:rPr>
          <w:rFonts w:asciiTheme="minorHAnsi" w:hAnsiTheme="minorHAnsi" w:cstheme="minorHAnsi"/>
          <w:sz w:val="22"/>
          <w:szCs w:val="22"/>
          <w:lang w:val="el-GR"/>
        </w:rPr>
        <w:t xml:space="preserve">Εν συνεχεία </w:t>
      </w:r>
      <w:r w:rsidRPr="00ED4FD5">
        <w:rPr>
          <w:rFonts w:asciiTheme="minorHAnsi" w:hAnsiTheme="minorHAnsi" w:cstheme="minorHAnsi"/>
          <w:sz w:val="22"/>
          <w:szCs w:val="22"/>
          <w:u w:val="single"/>
          <w:lang w:val="el-GR"/>
        </w:rPr>
        <w:t>κατά τον έλεγχο τήρησης της διατήρησης της απασχόλησης που πιστοποιήθηκε κατά τον έλεγχο</w:t>
      </w:r>
      <w:r w:rsidRPr="00ED4FD5">
        <w:rPr>
          <w:rFonts w:asciiTheme="minorHAnsi" w:hAnsiTheme="minorHAnsi" w:cstheme="minorHAnsi"/>
          <w:sz w:val="22"/>
          <w:szCs w:val="22"/>
          <w:lang w:val="el-GR"/>
        </w:rPr>
        <w:t xml:space="preserve"> (δηλαδή αφού παρέλθουν οι δώδεκα μήνες από την πιστοποίηση):</w:t>
      </w:r>
    </w:p>
    <w:p w14:paraId="36F14939" w14:textId="77777777" w:rsidR="001D7F47" w:rsidRPr="00ED4FD5" w:rsidRDefault="001D7F47" w:rsidP="001D7F47">
      <w:pPr>
        <w:pStyle w:val="ListParagraph"/>
        <w:numPr>
          <w:ilvl w:val="0"/>
          <w:numId w:val="6"/>
        </w:numPr>
        <w:spacing w:before="0" w:after="160" w:line="259" w:lineRule="auto"/>
        <w:rPr>
          <w:rFonts w:asciiTheme="minorHAnsi" w:hAnsiTheme="minorHAnsi" w:cstheme="minorHAnsi"/>
          <w:sz w:val="22"/>
          <w:szCs w:val="22"/>
          <w:lang w:val="el-GR"/>
        </w:rPr>
      </w:pPr>
      <w:bookmarkStart w:id="7" w:name="_Hlk155945930"/>
      <w:r w:rsidRPr="00ED4FD5">
        <w:rPr>
          <w:rFonts w:asciiTheme="minorHAnsi" w:hAnsiTheme="minorHAnsi" w:cstheme="minorHAnsi"/>
          <w:sz w:val="22"/>
          <w:szCs w:val="22"/>
          <w:u w:val="single"/>
          <w:lang w:val="el-GR"/>
        </w:rPr>
        <w:t>στην πιο πάνω περίπτωση Α</w:t>
      </w:r>
      <w:r w:rsidRPr="00ED4FD5">
        <w:rPr>
          <w:rFonts w:asciiTheme="minorHAnsi" w:hAnsiTheme="minorHAnsi" w:cstheme="minorHAnsi"/>
          <w:sz w:val="22"/>
          <w:szCs w:val="22"/>
          <w:lang w:val="el-GR"/>
        </w:rPr>
        <w:t xml:space="preserve"> (στόχος 2,5 ΕΜΕ) διαπιστωθεί ότι η δικαιούχος απασχόλησε:</w:t>
      </w:r>
    </w:p>
    <w:p w14:paraId="6192D1DE" w14:textId="77777777" w:rsidR="001D7F47" w:rsidRPr="00ED4FD5" w:rsidRDefault="001D7F47" w:rsidP="001D7F47">
      <w:pPr>
        <w:pStyle w:val="ListParagraph"/>
        <w:numPr>
          <w:ilvl w:val="1"/>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δυόμιση (2,5) ή περισσότερες ΕΜΕ ο έλεγχος κλείνει θετικά χωρίς αναβαθμολόγηση / ποινή – ανάκτηση Δ.Χ.</w:t>
      </w:r>
    </w:p>
    <w:p w14:paraId="588A1A66" w14:textId="77777777" w:rsidR="001D7F47" w:rsidRPr="00ED4FD5" w:rsidRDefault="001D7F47" w:rsidP="001D7F47">
      <w:pPr>
        <w:pStyle w:val="ListParagraph"/>
        <w:numPr>
          <w:ilvl w:val="1"/>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λιγότερες από 1,4 (</w:t>
      </w:r>
      <w:r w:rsidRPr="00ED4FD5">
        <w:rPr>
          <w:rFonts w:asciiTheme="minorHAnsi" w:hAnsiTheme="minorHAnsi" w:cstheme="minorHAnsi"/>
          <w:sz w:val="22"/>
          <w:szCs w:val="22"/>
          <w:u w:val="single"/>
          <w:lang w:val="el-GR"/>
        </w:rPr>
        <w:t>με το περιθώριο του 0,1 απόκλιση</w:t>
      </w:r>
      <w:r w:rsidRPr="00ED4FD5">
        <w:rPr>
          <w:rFonts w:asciiTheme="minorHAnsi" w:hAnsiTheme="minorHAnsi" w:cstheme="minorHAnsi"/>
          <w:sz w:val="22"/>
          <w:szCs w:val="22"/>
          <w:lang w:val="el-GR"/>
        </w:rPr>
        <w:t>) ΕΜΕ ο έλεγχος κλείνει αρνητικά, διότι δεν τηρήθηκε η τυπική προυπόθεση για ελάχιστη αύξηση απασχόλησης (κατά 0,5 τουλάχιστον ΕΜΕ) και επιβάλεται ποινή ολικής ανάκτησης της Δ.Χ.</w:t>
      </w:r>
    </w:p>
    <w:p w14:paraId="45239259" w14:textId="77777777" w:rsidR="001D7F47" w:rsidRPr="00ED4FD5" w:rsidRDefault="001D7F47" w:rsidP="001D7F47">
      <w:pPr>
        <w:pStyle w:val="ListParagraph"/>
        <w:numPr>
          <w:ilvl w:val="1"/>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μεταξύ 1,4 (</w:t>
      </w:r>
      <w:r w:rsidRPr="00ED4FD5">
        <w:rPr>
          <w:rFonts w:asciiTheme="minorHAnsi" w:hAnsiTheme="minorHAnsi" w:cstheme="minorHAnsi"/>
          <w:sz w:val="22"/>
          <w:szCs w:val="22"/>
          <w:u w:val="single"/>
          <w:lang w:val="el-GR"/>
        </w:rPr>
        <w:t>με το περιθώριο του 0,1 απόκλιση</w:t>
      </w:r>
      <w:r w:rsidRPr="00ED4FD5">
        <w:rPr>
          <w:rFonts w:asciiTheme="minorHAnsi" w:hAnsiTheme="minorHAnsi" w:cstheme="minorHAnsi"/>
          <w:sz w:val="22"/>
          <w:szCs w:val="22"/>
          <w:lang w:val="el-GR"/>
        </w:rPr>
        <w:t>) και 2,5 ΕΜΕ, π.χ. 2,1 ΕΜΕ επειδή καλύπτει την ελάχιστη τυπική υποχρέωση για αύξηση των ΕΜΕ του 2024 κατά  μισή (0,5) ΕΜΕ –  ΑΛΛΑ υπολείπεται του δηλωμένου στόχου για διατήρηση 2,5 ΕΜΕ, θα γίνει αναβαθμολόγηση για να διαπιστωθεί αν με την τελικά πιστοποιηθείσα εν τοις πράγμασι αύξηση κατά 1,1 ΕΜΕ, η βαθμολογία που συγκεντρώνει η αίτηση εξακολουθεί να είναι πάνω από την βάση ένταξης και εφόσον:</w:t>
      </w:r>
    </w:p>
    <w:p w14:paraId="00B22B44" w14:textId="77777777" w:rsidR="001D7F47" w:rsidRPr="00ED4FD5" w:rsidRDefault="001D7F47" w:rsidP="001D7F47">
      <w:pPr>
        <w:pStyle w:val="ListParagraph"/>
        <w:numPr>
          <w:ilvl w:val="2"/>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η βαθμολογία είναι πάνω ή ίση με την βάση, θα επιβληθεί ποινή για μη επίτευξη στόχου.</w:t>
      </w:r>
    </w:p>
    <w:p w14:paraId="4E327564" w14:textId="77777777" w:rsidR="001D7F47" w:rsidRPr="00ED4FD5" w:rsidRDefault="001D7F47" w:rsidP="001D7F47">
      <w:pPr>
        <w:pStyle w:val="ListParagraph"/>
        <w:numPr>
          <w:ilvl w:val="2"/>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είναι κάτω από τη βάση ένταξης το έργο οδηγείται σε απένταξη και τυχόν ληφθείσα Δ.Χ. επιστρέφεται εντόκως.</w:t>
      </w:r>
      <w:bookmarkEnd w:id="7"/>
    </w:p>
    <w:p w14:paraId="00CE652F" w14:textId="77777777" w:rsidR="001D7F47" w:rsidRPr="00ED4FD5" w:rsidRDefault="001D7F47" w:rsidP="001D7F47">
      <w:pPr>
        <w:pStyle w:val="ListParagraph"/>
        <w:numPr>
          <w:ilvl w:val="0"/>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u w:val="single"/>
          <w:lang w:val="el-GR"/>
        </w:rPr>
        <w:t>στην πιο πάνω περίπτωση Γ α</w:t>
      </w:r>
      <w:r w:rsidRPr="00ED4FD5">
        <w:rPr>
          <w:rFonts w:asciiTheme="minorHAnsi" w:hAnsiTheme="minorHAnsi" w:cstheme="minorHAnsi"/>
          <w:sz w:val="22"/>
          <w:szCs w:val="22"/>
          <w:lang w:val="el-GR"/>
        </w:rPr>
        <w:t xml:space="preserve"> (νέος στόχος βάσει ελέγχου 2 ΕΜΕ) διαπιστωθεί ότι η δικαιούχος απασχόλησε:</w:t>
      </w:r>
    </w:p>
    <w:p w14:paraId="090C7194" w14:textId="77777777" w:rsidR="001D7F47" w:rsidRPr="00ED4FD5" w:rsidRDefault="001D7F47" w:rsidP="001D7F47">
      <w:pPr>
        <w:pStyle w:val="ListParagraph"/>
        <w:numPr>
          <w:ilvl w:val="1"/>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2 ή περισσότερες ΕΜΕ ο έλεγχος κλείνει θετικά χωρίς αναβαθμολόγηση / ποινή – ανάκτηση Δ.Χ.</w:t>
      </w:r>
    </w:p>
    <w:p w14:paraId="3D6DE268" w14:textId="77777777" w:rsidR="001D7F47" w:rsidRPr="00ED4FD5" w:rsidRDefault="001D7F47" w:rsidP="001D7F47">
      <w:pPr>
        <w:pStyle w:val="ListParagraph"/>
        <w:numPr>
          <w:ilvl w:val="1"/>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λιγότερες από 1,4 ΕΜΕ ο έλεγχος κλείνει αρνητικά, διότι δεν τηρήθηκε η τυπική προϋπόθεση για ελάχιστη αύξηση απασχόλησης (κατά 1 τουλάχιστον ΕΜΕ) και επιβάλλεται ποινή ολικής ανάκτησης της Δ.Χ.</w:t>
      </w:r>
    </w:p>
    <w:p w14:paraId="3B937221" w14:textId="77777777" w:rsidR="001D7F47" w:rsidRPr="00ED4FD5" w:rsidRDefault="001D7F47" w:rsidP="001D7F47">
      <w:pPr>
        <w:pStyle w:val="ListParagraph"/>
        <w:numPr>
          <w:ilvl w:val="1"/>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μεταξύ 1,4 (</w:t>
      </w:r>
      <w:r w:rsidRPr="00ED4FD5">
        <w:rPr>
          <w:rFonts w:asciiTheme="minorHAnsi" w:hAnsiTheme="minorHAnsi" w:cstheme="minorHAnsi"/>
          <w:sz w:val="22"/>
          <w:szCs w:val="22"/>
          <w:u w:val="single"/>
          <w:lang w:val="el-GR"/>
        </w:rPr>
        <w:t>με το περιθώριο του 0,1 απόκλιση</w:t>
      </w:r>
      <w:r w:rsidRPr="00ED4FD5">
        <w:rPr>
          <w:rFonts w:asciiTheme="minorHAnsi" w:hAnsiTheme="minorHAnsi" w:cstheme="minorHAnsi"/>
          <w:sz w:val="22"/>
          <w:szCs w:val="22"/>
          <w:lang w:val="el-GR"/>
        </w:rPr>
        <w:t>) και 2 ΕΜΕ, π.χ. 1,8 ΕΜΕ επειδή καλύπτει την ελάχιστη τυπική υποχρέωση για αύξηση των ΕΜΕ του 2024 κατά  μισή (0,5) ΕΜΕ –  ΑΛΛΑ υπολείπεται του δηλωμένου στόχου για διατήρηση 2 ΕΜΕ, θα γίνει αναβαθμολόγηση για να διαπιστωθεί αν με την τελικά πιστοποιηθείσα εν τοις πράγμασι αύξηση κατά 0,8 ΕΜΕ, η βαθμολογία που συγκεντρώνει η αίτηση εξακολουθεί να είναι πάνω από την βάση ένταξης και εφόσον:</w:t>
      </w:r>
    </w:p>
    <w:p w14:paraId="228E42F1" w14:textId="77777777" w:rsidR="001D7F47" w:rsidRPr="00ED4FD5" w:rsidRDefault="001D7F47" w:rsidP="001D7F47">
      <w:pPr>
        <w:pStyle w:val="ListParagraph"/>
        <w:numPr>
          <w:ilvl w:val="2"/>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η βαθμολογία είναι πάνω ή ίση με την βάση, θα επιβληθεί ποινή για μη επίτευξη στόχου.</w:t>
      </w:r>
    </w:p>
    <w:p w14:paraId="46AAE10E" w14:textId="77777777" w:rsidR="001D7F47" w:rsidRPr="00ED4FD5" w:rsidRDefault="001D7F47" w:rsidP="001D7F47">
      <w:pPr>
        <w:pStyle w:val="ListParagraph"/>
        <w:numPr>
          <w:ilvl w:val="2"/>
          <w:numId w:val="6"/>
        </w:numPr>
        <w:spacing w:before="0" w:after="160" w:line="259" w:lineRule="auto"/>
        <w:rPr>
          <w:rFonts w:asciiTheme="minorHAnsi" w:hAnsiTheme="minorHAnsi" w:cstheme="minorHAnsi"/>
          <w:sz w:val="22"/>
          <w:szCs w:val="22"/>
          <w:lang w:val="el-GR"/>
        </w:rPr>
      </w:pPr>
      <w:r w:rsidRPr="00ED4FD5">
        <w:rPr>
          <w:rFonts w:asciiTheme="minorHAnsi" w:hAnsiTheme="minorHAnsi" w:cstheme="minorHAnsi"/>
          <w:sz w:val="22"/>
          <w:szCs w:val="22"/>
          <w:lang w:val="el-GR"/>
        </w:rPr>
        <w:t>είναι κάτω από τη βάση ένταξης το έργο οδηγείται σε απένταξη και τυχόν ληφθείσα Δ.Χ. επιστρέφεται εντόκως.</w:t>
      </w:r>
    </w:p>
    <w:p w14:paraId="2488B732" w14:textId="77777777" w:rsidR="001D7F47" w:rsidRPr="00ED4FD5" w:rsidRDefault="001D7F47" w:rsidP="001D7F47">
      <w:pPr>
        <w:jc w:val="center"/>
        <w:rPr>
          <w:rFonts w:asciiTheme="minorHAnsi" w:hAnsiTheme="minorHAnsi" w:cstheme="minorHAnsi"/>
          <w:b/>
          <w:bCs/>
          <w:sz w:val="22"/>
          <w:szCs w:val="22"/>
          <w:lang w:val="el-GR"/>
        </w:rPr>
      </w:pPr>
    </w:p>
    <w:p w14:paraId="688DD60E" w14:textId="77777777" w:rsidR="004D58F0" w:rsidRPr="001D7F47" w:rsidRDefault="004D58F0">
      <w:pPr>
        <w:rPr>
          <w:lang w:val="el-GR"/>
        </w:rPr>
      </w:pPr>
    </w:p>
    <w:sectPr w:rsidR="004D58F0" w:rsidRPr="001D7F47" w:rsidSect="001D7F47">
      <w:footerReference w:type="default" r:id="rId7"/>
      <w:pgSz w:w="11906" w:h="16838" w:code="9"/>
      <w:pgMar w:top="1276" w:right="1418" w:bottom="1440" w:left="1134" w:header="425"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D9B9" w14:textId="77777777" w:rsidR="00AA6A39" w:rsidRDefault="00AA6A39" w:rsidP="001D7F47">
      <w:pPr>
        <w:spacing w:before="0" w:after="0" w:line="240" w:lineRule="auto"/>
      </w:pPr>
      <w:r>
        <w:separator/>
      </w:r>
    </w:p>
  </w:endnote>
  <w:endnote w:type="continuationSeparator" w:id="0">
    <w:p w14:paraId="49EB80EE" w14:textId="77777777" w:rsidR="00AA6A39" w:rsidRDefault="00AA6A39" w:rsidP="001D7F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30338"/>
      <w:docPartObj>
        <w:docPartGallery w:val="Page Numbers (Bottom of Page)"/>
        <w:docPartUnique/>
      </w:docPartObj>
    </w:sdtPr>
    <w:sdtEndPr>
      <w:rPr>
        <w:rFonts w:asciiTheme="minorHAnsi" w:hAnsiTheme="minorHAnsi" w:cstheme="minorHAnsi"/>
        <w:i/>
        <w:iCs/>
        <w:sz w:val="18"/>
        <w:szCs w:val="22"/>
      </w:rPr>
    </w:sdtEndPr>
    <w:sdtContent>
      <w:p w14:paraId="2BE8BC3A" w14:textId="77777777" w:rsidR="001D7F47" w:rsidRDefault="001D7F47" w:rsidP="009C3EAA">
        <w:pPr>
          <w:pStyle w:val="Footer"/>
          <w:ind w:left="-1276"/>
          <w:jc w:val="right"/>
        </w:pPr>
        <w:r>
          <w:rPr>
            <w:noProof/>
            <w:lang w:val="el-GR" w:eastAsia="el-GR"/>
          </w:rPr>
          <w:drawing>
            <wp:inline distT="0" distB="0" distL="0" distR="0" wp14:anchorId="21C5E4FB" wp14:editId="3FEE3957">
              <wp:extent cx="5730875" cy="603250"/>
              <wp:effectExtent l="0" t="0" r="3175" b="6350"/>
              <wp:docPr id="13859937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03250"/>
                      </a:xfrm>
                      <a:prstGeom prst="rect">
                        <a:avLst/>
                      </a:prstGeom>
                      <a:noFill/>
                    </pic:spPr>
                  </pic:pic>
                </a:graphicData>
              </a:graphic>
            </wp:inline>
          </w:drawing>
        </w:r>
        <w:r w:rsidRPr="00A37B1A">
          <w:rPr>
            <w:rFonts w:asciiTheme="minorHAnsi" w:hAnsiTheme="minorHAnsi" w:cstheme="minorHAnsi"/>
            <w:i/>
            <w:iCs/>
          </w:rPr>
          <w:fldChar w:fldCharType="begin"/>
        </w:r>
        <w:r w:rsidRPr="00A37B1A">
          <w:rPr>
            <w:rFonts w:asciiTheme="minorHAnsi" w:hAnsiTheme="minorHAnsi" w:cstheme="minorHAnsi"/>
            <w:i/>
            <w:iCs/>
          </w:rPr>
          <w:instrText>PAGE   \* MERGEFORMAT</w:instrText>
        </w:r>
        <w:r w:rsidRPr="00A37B1A">
          <w:rPr>
            <w:rFonts w:asciiTheme="minorHAnsi" w:hAnsiTheme="minorHAnsi" w:cstheme="minorHAnsi"/>
            <w:i/>
            <w:iCs/>
          </w:rPr>
          <w:fldChar w:fldCharType="separate"/>
        </w:r>
        <w:r w:rsidRPr="0079643B">
          <w:rPr>
            <w:rFonts w:asciiTheme="minorHAnsi" w:hAnsiTheme="minorHAnsi" w:cstheme="minorHAnsi"/>
            <w:i/>
            <w:iCs/>
            <w:noProof/>
            <w:lang w:val="el-GR"/>
          </w:rPr>
          <w:t>45</w:t>
        </w:r>
        <w:r w:rsidRPr="00A37B1A">
          <w:rPr>
            <w:rFonts w:asciiTheme="minorHAnsi" w:hAnsiTheme="minorHAnsi" w:cstheme="minorHAnsi"/>
            <w:i/>
            <w:iCs/>
          </w:rPr>
          <w:fldChar w:fldCharType="end"/>
        </w:r>
      </w:p>
    </w:sdtContent>
  </w:sdt>
  <w:p w14:paraId="1A89C65A" w14:textId="77777777" w:rsidR="001D7F47" w:rsidRPr="00F87590" w:rsidRDefault="001D7F47" w:rsidP="00333B46">
    <w:pPr>
      <w:pStyle w:val="Footer"/>
      <w:spacing w:before="0" w:after="0" w:line="240" w:lineRule="auto"/>
      <w:ind w:right="360"/>
      <w:rPr>
        <w:rFonts w:ascii="Tahoma" w:hAnsi="Tahoma" w:cs="Tahoma"/>
        <w:sz w:val="16"/>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D8AF" w14:textId="77777777" w:rsidR="00AA6A39" w:rsidRDefault="00AA6A39" w:rsidP="001D7F47">
      <w:pPr>
        <w:spacing w:before="0" w:after="0" w:line="240" w:lineRule="auto"/>
      </w:pPr>
      <w:r>
        <w:separator/>
      </w:r>
    </w:p>
  </w:footnote>
  <w:footnote w:type="continuationSeparator" w:id="0">
    <w:p w14:paraId="63F2FA29" w14:textId="77777777" w:rsidR="00AA6A39" w:rsidRDefault="00AA6A39" w:rsidP="001D7F4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19"/>
    <w:multiLevelType w:val="hybridMultilevel"/>
    <w:tmpl w:val="302214D4"/>
    <w:lvl w:ilvl="0" w:tplc="321CE32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2934AE9"/>
    <w:multiLevelType w:val="hybridMultilevel"/>
    <w:tmpl w:val="116A6594"/>
    <w:lvl w:ilvl="0" w:tplc="0408000F">
      <w:start w:val="1"/>
      <w:numFmt w:val="decimal"/>
      <w:lvlText w:val="%1."/>
      <w:lvlJc w:val="left"/>
      <w:pPr>
        <w:ind w:left="1287" w:hanging="360"/>
      </w:pPr>
    </w:lvl>
    <w:lvl w:ilvl="1" w:tplc="04080019">
      <w:start w:val="1"/>
      <w:numFmt w:val="lowerLetter"/>
      <w:lvlText w:val="%2."/>
      <w:lvlJc w:val="left"/>
      <w:pPr>
        <w:ind w:left="2007" w:hanging="360"/>
      </w:pPr>
    </w:lvl>
    <w:lvl w:ilvl="2" w:tplc="0408001B">
      <w:start w:val="1"/>
      <w:numFmt w:val="lowerRoman"/>
      <w:lvlText w:val="%3."/>
      <w:lvlJc w:val="right"/>
      <w:pPr>
        <w:ind w:left="2727" w:hanging="180"/>
      </w:pPr>
    </w:lvl>
    <w:lvl w:ilvl="3" w:tplc="0408000F">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 w15:restartNumberingAfterBreak="0">
    <w:nsid w:val="35E015CA"/>
    <w:multiLevelType w:val="hybridMultilevel"/>
    <w:tmpl w:val="5AA4BF96"/>
    <w:lvl w:ilvl="0" w:tplc="04080013">
      <w:start w:val="1"/>
      <w:numFmt w:val="upperRoman"/>
      <w:lvlText w:val="%1."/>
      <w:lvlJc w:val="right"/>
      <w:pPr>
        <w:ind w:left="720" w:hanging="360"/>
      </w:pPr>
      <w:rPr>
        <w:rFonts w:hint="default"/>
      </w:rPr>
    </w:lvl>
    <w:lvl w:ilvl="1" w:tplc="F468C462">
      <w:start w:val="1"/>
      <mc:AlternateContent>
        <mc:Choice Requires="w14">
          <w:numFmt w:val="custom" w:format="α, β, γ, ..."/>
        </mc:Choice>
        <mc:Fallback>
          <w:numFmt w:val="decimal"/>
        </mc:Fallback>
      </mc:AlternateContent>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1B3873"/>
    <w:multiLevelType w:val="hybridMultilevel"/>
    <w:tmpl w:val="4CB42736"/>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468C462">
      <w:start w:val="1"/>
      <mc:AlternateContent>
        <mc:Choice Requires="w14">
          <w:numFmt w:val="custom" w:format="α, β, γ, ..."/>
        </mc:Choice>
        <mc:Fallback>
          <w:numFmt w:val="decimal"/>
        </mc:Fallback>
      </mc:AlternateContent>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9D7305"/>
    <w:multiLevelType w:val="hybridMultilevel"/>
    <w:tmpl w:val="BA0C0FB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661C7A1C"/>
    <w:multiLevelType w:val="hybridMultilevel"/>
    <w:tmpl w:val="B3347E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69081345">
    <w:abstractNumId w:val="1"/>
  </w:num>
  <w:num w:numId="2" w16cid:durableId="2135438319">
    <w:abstractNumId w:val="4"/>
  </w:num>
  <w:num w:numId="3" w16cid:durableId="332726301">
    <w:abstractNumId w:val="5"/>
  </w:num>
  <w:num w:numId="4" w16cid:durableId="1751654237">
    <w:abstractNumId w:val="0"/>
  </w:num>
  <w:num w:numId="5" w16cid:durableId="1429734641">
    <w:abstractNumId w:val="3"/>
  </w:num>
  <w:num w:numId="6" w16cid:durableId="821506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4E"/>
    <w:rsid w:val="001D7F47"/>
    <w:rsid w:val="004D58F0"/>
    <w:rsid w:val="0059234E"/>
    <w:rsid w:val="00AA6A39"/>
    <w:rsid w:val="00AA6E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FB34E-4F4F-42C3-9DD8-F412AA2B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7"/>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592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9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92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34E"/>
    <w:rPr>
      <w:rFonts w:eastAsiaTheme="majorEastAsia" w:cstheme="majorBidi"/>
      <w:color w:val="272727" w:themeColor="text1" w:themeTint="D8"/>
    </w:rPr>
  </w:style>
  <w:style w:type="paragraph" w:styleId="Title">
    <w:name w:val="Title"/>
    <w:basedOn w:val="Normal"/>
    <w:next w:val="Normal"/>
    <w:link w:val="TitleChar"/>
    <w:uiPriority w:val="10"/>
    <w:qFormat/>
    <w:rsid w:val="00592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34E"/>
    <w:pPr>
      <w:spacing w:before="160"/>
      <w:jc w:val="center"/>
    </w:pPr>
    <w:rPr>
      <w:i/>
      <w:iCs/>
      <w:color w:val="404040" w:themeColor="text1" w:themeTint="BF"/>
    </w:rPr>
  </w:style>
  <w:style w:type="character" w:customStyle="1" w:styleId="QuoteChar">
    <w:name w:val="Quote Char"/>
    <w:basedOn w:val="DefaultParagraphFont"/>
    <w:link w:val="Quote"/>
    <w:uiPriority w:val="29"/>
    <w:rsid w:val="0059234E"/>
    <w:rPr>
      <w:i/>
      <w:iCs/>
      <w:color w:val="404040" w:themeColor="text1" w:themeTint="BF"/>
    </w:rPr>
  </w:style>
  <w:style w:type="paragraph" w:styleId="ListParagraph">
    <w:name w:val="List Paragraph"/>
    <w:aliases w:val="Liste à puces retrait droite,BULLETS,List Paragraph1,Γράφημα,ÃñÜöçìá,AnUocia,Bullet2,Bullet21,Bullet22,Bullet23,Bullet211,Bullet24,Bullet25,Bullet26,Bullet27,bl11,Bullet212,Bullet28,bl12,Bullet213,Bullet29,bl13,Bullet214,Bullet210"/>
    <w:basedOn w:val="Normal"/>
    <w:link w:val="ListParagraphChar"/>
    <w:uiPriority w:val="34"/>
    <w:qFormat/>
    <w:rsid w:val="0059234E"/>
    <w:pPr>
      <w:ind w:left="720"/>
      <w:contextualSpacing/>
    </w:pPr>
  </w:style>
  <w:style w:type="character" w:styleId="IntenseEmphasis">
    <w:name w:val="Intense Emphasis"/>
    <w:basedOn w:val="DefaultParagraphFont"/>
    <w:uiPriority w:val="21"/>
    <w:qFormat/>
    <w:rsid w:val="0059234E"/>
    <w:rPr>
      <w:i/>
      <w:iCs/>
      <w:color w:val="0F4761" w:themeColor="accent1" w:themeShade="BF"/>
    </w:rPr>
  </w:style>
  <w:style w:type="paragraph" w:styleId="IntenseQuote">
    <w:name w:val="Intense Quote"/>
    <w:basedOn w:val="Normal"/>
    <w:next w:val="Normal"/>
    <w:link w:val="IntenseQuoteChar"/>
    <w:uiPriority w:val="30"/>
    <w:qFormat/>
    <w:rsid w:val="00592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34E"/>
    <w:rPr>
      <w:i/>
      <w:iCs/>
      <w:color w:val="0F4761" w:themeColor="accent1" w:themeShade="BF"/>
    </w:rPr>
  </w:style>
  <w:style w:type="character" w:styleId="IntenseReference">
    <w:name w:val="Intense Reference"/>
    <w:basedOn w:val="DefaultParagraphFont"/>
    <w:uiPriority w:val="32"/>
    <w:qFormat/>
    <w:rsid w:val="0059234E"/>
    <w:rPr>
      <w:b/>
      <w:bCs/>
      <w:smallCaps/>
      <w:color w:val="0F4761" w:themeColor="accent1" w:themeShade="BF"/>
      <w:spacing w:val="5"/>
    </w:rPr>
  </w:style>
  <w:style w:type="paragraph" w:styleId="Footer">
    <w:name w:val="footer"/>
    <w:aliases w:val="ft"/>
    <w:basedOn w:val="Normal"/>
    <w:link w:val="FooterChar"/>
    <w:uiPriority w:val="99"/>
    <w:rsid w:val="001D7F47"/>
    <w:pPr>
      <w:tabs>
        <w:tab w:val="center" w:pos="4153"/>
        <w:tab w:val="right" w:pos="8306"/>
      </w:tabs>
      <w:spacing w:before="60" w:after="60"/>
    </w:pPr>
  </w:style>
  <w:style w:type="character" w:customStyle="1" w:styleId="FooterChar">
    <w:name w:val="Footer Char"/>
    <w:aliases w:val="ft Char"/>
    <w:basedOn w:val="DefaultParagraphFont"/>
    <w:link w:val="Footer"/>
    <w:uiPriority w:val="99"/>
    <w:rsid w:val="001D7F47"/>
    <w:rPr>
      <w:rFonts w:ascii="Verdana" w:eastAsia="Times New Roman" w:hAnsi="Verdana" w:cs="Times New Roman"/>
      <w:kern w:val="0"/>
      <w:sz w:val="20"/>
      <w:szCs w:val="24"/>
      <w:lang w:val="en-US"/>
      <w14:ligatures w14:val="none"/>
    </w:rPr>
  </w:style>
  <w:style w:type="character" w:customStyle="1" w:styleId="ListParagraphChar">
    <w:name w:val="List Paragraph Char"/>
    <w:aliases w:val="Liste à puces retrait droite Char,BULLETS Char,List Paragraph1 Char,Γράφημα Char,ÃñÜöçìá Char,AnUocia Char,Bullet2 Char,Bullet21 Char,Bullet22 Char,Bullet23 Char,Bullet211 Char,Bullet24 Char,Bullet25 Char,Bullet26 Char,Bullet27 Char"/>
    <w:link w:val="ListParagraph"/>
    <w:uiPriority w:val="34"/>
    <w:qFormat/>
    <w:locked/>
    <w:rsid w:val="001D7F47"/>
  </w:style>
  <w:style w:type="paragraph" w:styleId="Header">
    <w:name w:val="header"/>
    <w:basedOn w:val="Normal"/>
    <w:link w:val="HeaderChar"/>
    <w:uiPriority w:val="99"/>
    <w:unhideWhenUsed/>
    <w:rsid w:val="001D7F47"/>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1D7F47"/>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11307</Characters>
  <Application>Microsoft Office Word</Application>
  <DocSecurity>0</DocSecurity>
  <Lines>94</Lines>
  <Paragraphs>26</Paragraphs>
  <ScaleCrop>false</ScaleCrop>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2026-03-10T14:36:00Z</dcterms:created>
  <dcterms:modified xsi:type="dcterms:W3CDTF">2026-03-10T14:37:00Z</dcterms:modified>
</cp:coreProperties>
</file>