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FFDA" w14:textId="77777777" w:rsidR="009142E2" w:rsidRPr="009142E2" w:rsidRDefault="009142E2" w:rsidP="009142E2">
      <w:pPr>
        <w:pStyle w:val="Heading2"/>
        <w:rPr>
          <w:lang w:val="el-GR"/>
        </w:rPr>
      </w:pPr>
      <w:bookmarkStart w:id="0" w:name="_Toc141689802"/>
      <w:bookmarkStart w:id="1" w:name="_Toc149578063"/>
      <w:bookmarkStart w:id="2" w:name="_Toc192610996"/>
      <w:r w:rsidRPr="009142E2">
        <w:rPr>
          <w:lang w:val="el-GR"/>
        </w:rPr>
        <w:t xml:space="preserve">ΠΑΡΑΡΤΗΜΑ </w:t>
      </w:r>
      <w:r w:rsidRPr="006937D9">
        <w:t>X</w:t>
      </w:r>
      <w:r w:rsidRPr="009142E2">
        <w:rPr>
          <w:lang w:val="el-GR"/>
        </w:rPr>
        <w:t xml:space="preserve">: </w:t>
      </w:r>
      <w:bookmarkEnd w:id="0"/>
      <w:r w:rsidRPr="009142E2">
        <w:rPr>
          <w:lang w:val="el-GR"/>
        </w:rPr>
        <w:t>ΠΙΝΑΚΑΣ ΓΙΑ ΤΗ ΣΥΜΜΟΡΦΩΣΗ ΠΡΑΞΕΩΝ ΜΕ ΤΟ ΧΑΡΤΗ ΘΕΜΕΛΙΩΔΩΝ ΔΙΚΑΙΩΜΑΤΩΝ ΤΗΣ ΕΥΡΩΠΑΪΚΗΣ ΈΝΩΣΗΣ</w:t>
      </w:r>
      <w:bookmarkEnd w:id="1"/>
      <w:bookmarkEnd w:id="2"/>
    </w:p>
    <w:tbl>
      <w:tblPr>
        <w:tblStyle w:val="TableGrid"/>
        <w:tblW w:w="9777" w:type="dxa"/>
        <w:tblInd w:w="-289" w:type="dxa"/>
        <w:tblLook w:val="04A0" w:firstRow="1" w:lastRow="0" w:firstColumn="1" w:lastColumn="0" w:noHBand="0" w:noVBand="1"/>
      </w:tblPr>
      <w:tblGrid>
        <w:gridCol w:w="1844"/>
        <w:gridCol w:w="3538"/>
        <w:gridCol w:w="4395"/>
      </w:tblGrid>
      <w:tr w:rsidR="009142E2" w:rsidRPr="006937D9" w14:paraId="31D08FE3" w14:textId="77777777" w:rsidTr="00703869">
        <w:trPr>
          <w:trHeight w:val="366"/>
          <w:tblHeader/>
        </w:trPr>
        <w:tc>
          <w:tcPr>
            <w:tcW w:w="1844" w:type="dxa"/>
            <w:shd w:val="clear" w:color="auto" w:fill="C1F0C7" w:themeFill="accent3" w:themeFillTint="33"/>
            <w:vAlign w:val="center"/>
          </w:tcPr>
          <w:p w14:paraId="60443B4A" w14:textId="77777777" w:rsidR="009142E2" w:rsidRPr="00121F74" w:rsidRDefault="009142E2" w:rsidP="00703869">
            <w:pPr>
              <w:spacing w:before="0" w:after="0" w:line="240" w:lineRule="auto"/>
              <w:jc w:val="center"/>
              <w:rPr>
                <w:rFonts w:asciiTheme="minorHAnsi" w:hAnsiTheme="minorHAnsi" w:cstheme="minorHAnsi"/>
                <w:b/>
                <w:szCs w:val="20"/>
              </w:rPr>
            </w:pPr>
            <w:r w:rsidRPr="00121F74">
              <w:rPr>
                <w:rFonts w:asciiTheme="minorHAnsi" w:hAnsiTheme="minorHAnsi" w:cstheme="minorHAnsi"/>
                <w:b/>
                <w:szCs w:val="20"/>
              </w:rPr>
              <w:t>ΘΕΜΑΤΑ</w:t>
            </w:r>
          </w:p>
        </w:tc>
        <w:tc>
          <w:tcPr>
            <w:tcW w:w="3538" w:type="dxa"/>
            <w:shd w:val="clear" w:color="auto" w:fill="C1F0C7" w:themeFill="accent3" w:themeFillTint="33"/>
            <w:vAlign w:val="center"/>
          </w:tcPr>
          <w:p w14:paraId="34A371B5" w14:textId="77777777" w:rsidR="009142E2" w:rsidRPr="00121F74" w:rsidRDefault="009142E2" w:rsidP="00703869">
            <w:pPr>
              <w:spacing w:before="0" w:after="0" w:line="240" w:lineRule="auto"/>
              <w:jc w:val="center"/>
              <w:rPr>
                <w:rFonts w:asciiTheme="minorHAnsi" w:hAnsiTheme="minorHAnsi" w:cstheme="minorHAnsi"/>
                <w:b/>
                <w:szCs w:val="20"/>
              </w:rPr>
            </w:pPr>
            <w:r w:rsidRPr="00121F74">
              <w:rPr>
                <w:rFonts w:asciiTheme="minorHAnsi" w:hAnsiTheme="minorHAnsi" w:cstheme="minorHAnsi"/>
                <w:b/>
                <w:szCs w:val="20"/>
              </w:rPr>
              <w:t>ΑΡΘΡΑ</w:t>
            </w:r>
          </w:p>
        </w:tc>
        <w:tc>
          <w:tcPr>
            <w:tcW w:w="4395" w:type="dxa"/>
            <w:shd w:val="clear" w:color="auto" w:fill="C1F0C7" w:themeFill="accent3" w:themeFillTint="33"/>
            <w:vAlign w:val="center"/>
          </w:tcPr>
          <w:p w14:paraId="7D4DEED6" w14:textId="77777777" w:rsidR="009142E2" w:rsidRPr="00121F74" w:rsidRDefault="009142E2" w:rsidP="00703869">
            <w:pPr>
              <w:spacing w:before="0" w:after="0" w:line="240" w:lineRule="auto"/>
              <w:jc w:val="center"/>
              <w:rPr>
                <w:rFonts w:asciiTheme="minorHAnsi" w:hAnsiTheme="minorHAnsi" w:cstheme="minorHAnsi"/>
                <w:b/>
                <w:szCs w:val="20"/>
              </w:rPr>
            </w:pPr>
            <w:r w:rsidRPr="00121F74">
              <w:rPr>
                <w:rFonts w:asciiTheme="minorHAnsi" w:hAnsiTheme="minorHAnsi" w:cstheme="minorHAnsi"/>
                <w:b/>
                <w:szCs w:val="20"/>
              </w:rPr>
              <w:t>ΕΡΩΤΗΜΑΤΑ</w:t>
            </w:r>
          </w:p>
        </w:tc>
      </w:tr>
      <w:tr w:rsidR="009142E2" w:rsidRPr="0031260F" w14:paraId="278D471D" w14:textId="77777777" w:rsidTr="00703869">
        <w:trPr>
          <w:trHeight w:val="454"/>
        </w:trPr>
        <w:tc>
          <w:tcPr>
            <w:tcW w:w="1844" w:type="dxa"/>
            <w:vMerge w:val="restart"/>
            <w:vAlign w:val="center"/>
          </w:tcPr>
          <w:p w14:paraId="292CD2F4" w14:textId="77777777" w:rsidR="009142E2" w:rsidRPr="00121F74" w:rsidRDefault="009142E2" w:rsidP="00703869">
            <w:pPr>
              <w:spacing w:before="0" w:after="0" w:line="240" w:lineRule="auto"/>
              <w:jc w:val="center"/>
              <w:rPr>
                <w:rFonts w:asciiTheme="minorHAnsi" w:hAnsiTheme="minorHAnsi" w:cstheme="minorHAnsi"/>
                <w:sz w:val="18"/>
                <w:szCs w:val="18"/>
              </w:rPr>
            </w:pPr>
            <w:r w:rsidRPr="00121F74">
              <w:rPr>
                <w:rFonts w:asciiTheme="minorHAnsi" w:hAnsiTheme="minorHAnsi" w:cstheme="minorHAnsi"/>
                <w:sz w:val="18"/>
                <w:szCs w:val="18"/>
              </w:rPr>
              <w:t xml:space="preserve">Τίτλος Ι </w:t>
            </w:r>
            <w:r w:rsidRPr="00121F74">
              <w:rPr>
                <w:rFonts w:asciiTheme="minorHAnsi" w:hAnsiTheme="minorHAnsi" w:cstheme="minorHAnsi"/>
                <w:b/>
                <w:sz w:val="18"/>
                <w:szCs w:val="18"/>
              </w:rPr>
              <w:t>«ΑΞΙΟΠΡΕΠΕΙΑ»</w:t>
            </w:r>
          </w:p>
        </w:tc>
        <w:tc>
          <w:tcPr>
            <w:tcW w:w="3538" w:type="dxa"/>
            <w:vAlign w:val="center"/>
          </w:tcPr>
          <w:p w14:paraId="37A5AC2A"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rPr>
            </w:pPr>
            <w:r w:rsidRPr="00121F74">
              <w:rPr>
                <w:rFonts w:asciiTheme="minorHAnsi" w:hAnsiTheme="minorHAnsi" w:cstheme="minorHAnsi"/>
                <w:sz w:val="18"/>
                <w:szCs w:val="18"/>
              </w:rPr>
              <w:t xml:space="preserve">Ανθρώπινη αξιοπρέπεια </w:t>
            </w:r>
          </w:p>
        </w:tc>
        <w:tc>
          <w:tcPr>
            <w:tcW w:w="4395" w:type="dxa"/>
            <w:vMerge w:val="restart"/>
            <w:vAlign w:val="center"/>
          </w:tcPr>
          <w:p w14:paraId="69CA92B5" w14:textId="77777777" w:rsidR="009142E2" w:rsidRPr="00121F74" w:rsidRDefault="009142E2" w:rsidP="00703869">
            <w:pPr>
              <w:spacing w:before="0" w:after="0" w:line="240" w:lineRule="auto"/>
              <w:rPr>
                <w:rFonts w:asciiTheme="minorHAnsi" w:hAnsiTheme="minorHAnsi" w:cstheme="minorHAnsi"/>
                <w:sz w:val="18"/>
                <w:szCs w:val="18"/>
              </w:rPr>
            </w:pPr>
            <w:r w:rsidRPr="00121F74">
              <w:rPr>
                <w:rFonts w:asciiTheme="minorHAnsi" w:hAnsiTheme="minorHAnsi" w:cstheme="minorHAnsi"/>
                <w:sz w:val="18"/>
                <w:szCs w:val="18"/>
              </w:rPr>
              <w:t xml:space="preserve">Εγείρονται κίνδυνοι </w:t>
            </w:r>
            <w:proofErr w:type="gramStart"/>
            <w:r w:rsidRPr="00121F74">
              <w:rPr>
                <w:rFonts w:asciiTheme="minorHAnsi" w:hAnsiTheme="minorHAnsi" w:cstheme="minorHAnsi"/>
                <w:sz w:val="18"/>
                <w:szCs w:val="18"/>
              </w:rPr>
              <w:t>για :</w:t>
            </w:r>
            <w:proofErr w:type="gramEnd"/>
          </w:p>
          <w:p w14:paraId="1B6B2696" w14:textId="77777777" w:rsidR="009142E2" w:rsidRPr="00121F74" w:rsidRDefault="009142E2" w:rsidP="009142E2">
            <w:pPr>
              <w:numPr>
                <w:ilvl w:val="0"/>
                <w:numId w:val="2"/>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την ανθρώπινη αξιοπρέπεια, το δικαίωμα στη ζωή και την σωματική και διανοητική ακεραιότητα του προσώπου (εμπλεκόμενων, εργαζόμενων, ωφελούμενων);</w:t>
            </w:r>
          </w:p>
          <w:p w14:paraId="78B4137E" w14:textId="77777777" w:rsidR="009142E2" w:rsidRPr="00121F74" w:rsidRDefault="009142E2" w:rsidP="009142E2">
            <w:pPr>
              <w:numPr>
                <w:ilvl w:val="0"/>
                <w:numId w:val="2"/>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βασανιστήρια ή απάνθρωπη ή εξευτελιστική μεταχείριση ή τιμωρία;</w:t>
            </w:r>
          </w:p>
          <w:p w14:paraId="2F5CC229" w14:textId="77777777" w:rsidR="009142E2" w:rsidRPr="00121F74" w:rsidRDefault="009142E2" w:rsidP="009142E2">
            <w:pPr>
              <w:numPr>
                <w:ilvl w:val="0"/>
                <w:numId w:val="2"/>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αναγκαστική εργασία ή εμπορία ανθρώπινων όντων;</w:t>
            </w:r>
          </w:p>
          <w:p w14:paraId="14915C44" w14:textId="77777777" w:rsidR="009142E2" w:rsidRPr="00121F74" w:rsidRDefault="009142E2" w:rsidP="009142E2">
            <w:pPr>
              <w:numPr>
                <w:ilvl w:val="0"/>
                <w:numId w:val="2"/>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(βιο)ηθικά ζητήματα (κλωνοποίηση, μετατροπή του ανθρώπινου σώματος ή μερών του σε πηγή κέρδους, γενετική έρευνα/δοκιμή, χρήση γενετικών πληροφοριών; </w:t>
            </w:r>
          </w:p>
        </w:tc>
      </w:tr>
      <w:tr w:rsidR="009142E2" w:rsidRPr="0031260F" w14:paraId="10AF7A9B" w14:textId="77777777" w:rsidTr="00703869">
        <w:trPr>
          <w:trHeight w:val="454"/>
        </w:trPr>
        <w:tc>
          <w:tcPr>
            <w:tcW w:w="1844" w:type="dxa"/>
            <w:vMerge/>
            <w:vAlign w:val="center"/>
          </w:tcPr>
          <w:p w14:paraId="71EDF607"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51046A38"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Δικαίωμα στη ζωή κάθε προσώπου</w:t>
            </w:r>
          </w:p>
        </w:tc>
        <w:tc>
          <w:tcPr>
            <w:tcW w:w="4395" w:type="dxa"/>
            <w:vMerge/>
            <w:vAlign w:val="center"/>
          </w:tcPr>
          <w:p w14:paraId="316BD3F7"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77A663E3" w14:textId="77777777" w:rsidTr="00703869">
        <w:trPr>
          <w:trHeight w:val="454"/>
        </w:trPr>
        <w:tc>
          <w:tcPr>
            <w:tcW w:w="1844" w:type="dxa"/>
            <w:vMerge/>
            <w:vAlign w:val="center"/>
          </w:tcPr>
          <w:p w14:paraId="36FF57EA"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7CDC6A0C"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Δικαίωμα στην ακεραιότητα του προσώπου</w:t>
            </w:r>
          </w:p>
        </w:tc>
        <w:tc>
          <w:tcPr>
            <w:tcW w:w="4395" w:type="dxa"/>
            <w:vMerge/>
            <w:vAlign w:val="center"/>
          </w:tcPr>
          <w:p w14:paraId="2EDD377C"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03F49C4A" w14:textId="77777777" w:rsidTr="00703869">
        <w:trPr>
          <w:trHeight w:val="454"/>
        </w:trPr>
        <w:tc>
          <w:tcPr>
            <w:tcW w:w="1844" w:type="dxa"/>
            <w:vMerge/>
            <w:vAlign w:val="center"/>
          </w:tcPr>
          <w:p w14:paraId="4553057C"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1D063001"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Απαγόρευση των βασανιστηρίων και των απάνθρωπων ή εξευτελιστικών ποινών ή μεταχείρισης  </w:t>
            </w:r>
          </w:p>
        </w:tc>
        <w:tc>
          <w:tcPr>
            <w:tcW w:w="4395" w:type="dxa"/>
            <w:vMerge/>
            <w:vAlign w:val="center"/>
          </w:tcPr>
          <w:p w14:paraId="116C548F"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3D1794AB" w14:textId="77777777" w:rsidTr="00703869">
        <w:trPr>
          <w:trHeight w:val="1193"/>
        </w:trPr>
        <w:tc>
          <w:tcPr>
            <w:tcW w:w="1844" w:type="dxa"/>
            <w:vMerge/>
            <w:vAlign w:val="center"/>
          </w:tcPr>
          <w:p w14:paraId="5A1C680C"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ED071CC"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Απαγόρευση της δουλείας και της αναγκαστικής εργασίας</w:t>
            </w:r>
          </w:p>
        </w:tc>
        <w:tc>
          <w:tcPr>
            <w:tcW w:w="4395" w:type="dxa"/>
            <w:vMerge/>
            <w:vAlign w:val="center"/>
          </w:tcPr>
          <w:p w14:paraId="6DAA65FD"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736692EA" w14:textId="77777777" w:rsidTr="00703869">
        <w:trPr>
          <w:trHeight w:val="340"/>
        </w:trPr>
        <w:tc>
          <w:tcPr>
            <w:tcW w:w="1844" w:type="dxa"/>
            <w:vMerge w:val="restart"/>
            <w:vAlign w:val="center"/>
          </w:tcPr>
          <w:p w14:paraId="4CAF4467" w14:textId="77777777" w:rsidR="009142E2" w:rsidRPr="00121F74" w:rsidRDefault="009142E2" w:rsidP="00703869">
            <w:pPr>
              <w:spacing w:before="0" w:after="0" w:line="240" w:lineRule="auto"/>
              <w:jc w:val="center"/>
              <w:rPr>
                <w:rFonts w:asciiTheme="minorHAnsi" w:hAnsiTheme="minorHAnsi" w:cstheme="minorHAnsi"/>
                <w:sz w:val="18"/>
                <w:szCs w:val="18"/>
              </w:rPr>
            </w:pPr>
            <w:r w:rsidRPr="00121F74">
              <w:rPr>
                <w:rFonts w:asciiTheme="minorHAnsi" w:hAnsiTheme="minorHAnsi" w:cstheme="minorHAnsi"/>
                <w:sz w:val="18"/>
                <w:szCs w:val="18"/>
              </w:rPr>
              <w:t xml:space="preserve">Τίτλος ΙΙ </w:t>
            </w:r>
            <w:r w:rsidRPr="00121F74">
              <w:rPr>
                <w:rFonts w:asciiTheme="minorHAnsi" w:hAnsiTheme="minorHAnsi" w:cstheme="minorHAnsi"/>
                <w:b/>
                <w:sz w:val="18"/>
                <w:szCs w:val="18"/>
              </w:rPr>
              <w:t>«ΕΛΕΥΘΕΡΙΕΣ»</w:t>
            </w:r>
          </w:p>
        </w:tc>
        <w:tc>
          <w:tcPr>
            <w:tcW w:w="3538" w:type="dxa"/>
            <w:vAlign w:val="center"/>
          </w:tcPr>
          <w:p w14:paraId="7AE00CEA"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Δικαίωμα στην ελευθερία και την ασφάλεια</w:t>
            </w:r>
          </w:p>
        </w:tc>
        <w:tc>
          <w:tcPr>
            <w:tcW w:w="4395" w:type="dxa"/>
            <w:vAlign w:val="center"/>
          </w:tcPr>
          <w:p w14:paraId="005C63A0"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Θίγονται τα δικαιώματα της ελευθερίας και της ασφάλειας του ατόμου;</w:t>
            </w:r>
          </w:p>
        </w:tc>
      </w:tr>
      <w:tr w:rsidR="009142E2" w:rsidRPr="0031260F" w14:paraId="0C23865A" w14:textId="77777777" w:rsidTr="00703869">
        <w:trPr>
          <w:trHeight w:val="904"/>
        </w:trPr>
        <w:tc>
          <w:tcPr>
            <w:tcW w:w="1844" w:type="dxa"/>
            <w:vMerge/>
            <w:vAlign w:val="center"/>
          </w:tcPr>
          <w:p w14:paraId="411F1824"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60EDEBFA"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Σεβασμός της ιδιωτικής και οικογενειακής ζωής</w:t>
            </w:r>
          </w:p>
        </w:tc>
        <w:tc>
          <w:tcPr>
            <w:tcW w:w="4395" w:type="dxa"/>
            <w:vAlign w:val="center"/>
          </w:tcPr>
          <w:p w14:paraId="2282B9ED"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Γίνεται σεβαστή η ιδιωτική ζωή του ατόμου (συμπεριλαμβανομένων της κατοικίας και επικοινωνίας του);</w:t>
            </w:r>
          </w:p>
        </w:tc>
      </w:tr>
      <w:tr w:rsidR="009142E2" w:rsidRPr="0031260F" w14:paraId="78E9D002" w14:textId="77777777" w:rsidTr="00703869">
        <w:trPr>
          <w:trHeight w:val="2105"/>
        </w:trPr>
        <w:tc>
          <w:tcPr>
            <w:tcW w:w="1844" w:type="dxa"/>
            <w:vMerge/>
            <w:vAlign w:val="center"/>
          </w:tcPr>
          <w:p w14:paraId="49E5E896"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14189DAF"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Προστασία των δεδομένων προσωπικού χαρακτήρα </w:t>
            </w:r>
          </w:p>
        </w:tc>
        <w:tc>
          <w:tcPr>
            <w:tcW w:w="4395" w:type="dxa"/>
            <w:vAlign w:val="center"/>
          </w:tcPr>
          <w:p w14:paraId="0F65F83A"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Σε περίπτωση συλλογής προσωπικών δεδομένων, διασφαλίζεται:  </w:t>
            </w:r>
          </w:p>
          <w:p w14:paraId="55F07EA5" w14:textId="77777777" w:rsidR="009142E2" w:rsidRPr="00121F74" w:rsidRDefault="009142E2" w:rsidP="009142E2">
            <w:pPr>
              <w:numPr>
                <w:ilvl w:val="0"/>
                <w:numId w:val="3"/>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η ασφάλεια των δραστηριοτήτων επεξεργασίας δεδομένων σε τεχνικό και οργανωτικό επίπεδο;  </w:t>
            </w:r>
          </w:p>
          <w:p w14:paraId="063754EA" w14:textId="77777777" w:rsidR="009142E2" w:rsidRPr="00121F74" w:rsidRDefault="009142E2" w:rsidP="009142E2">
            <w:pPr>
              <w:numPr>
                <w:ilvl w:val="0"/>
                <w:numId w:val="3"/>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ότι η παρέμβαση καθίσταται σχετικά με την προστασία των δεδομένων αναλογική και αναγκαία; </w:t>
            </w:r>
          </w:p>
          <w:p w14:paraId="13C147BD" w14:textId="77777777" w:rsidR="009142E2" w:rsidRPr="00121F74" w:rsidRDefault="009142E2" w:rsidP="009142E2">
            <w:pPr>
              <w:numPr>
                <w:ilvl w:val="0"/>
                <w:numId w:val="3"/>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ότι υπάρχουν κατάλληλοι/ειδικοί μηχανισμοί ελέγχου και εποπτείας;</w:t>
            </w:r>
          </w:p>
        </w:tc>
      </w:tr>
      <w:tr w:rsidR="009142E2" w:rsidRPr="0031260F" w14:paraId="1CD05F1D" w14:textId="77777777" w:rsidTr="00703869">
        <w:trPr>
          <w:trHeight w:val="340"/>
        </w:trPr>
        <w:tc>
          <w:tcPr>
            <w:tcW w:w="1844" w:type="dxa"/>
            <w:vMerge/>
            <w:vAlign w:val="center"/>
          </w:tcPr>
          <w:p w14:paraId="3CDDDF54"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26CD6412"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Δικαίωμα γάμου και δημιουργία οικογένειας</w:t>
            </w:r>
          </w:p>
        </w:tc>
        <w:tc>
          <w:tcPr>
            <w:tcW w:w="4395" w:type="dxa"/>
            <w:vMerge w:val="restart"/>
            <w:vAlign w:val="center"/>
          </w:tcPr>
          <w:p w14:paraId="3084D61D" w14:textId="77777777" w:rsidR="009142E2" w:rsidRPr="00121F74" w:rsidRDefault="009142E2" w:rsidP="00703869">
            <w:pPr>
              <w:spacing w:before="0" w:after="0" w:line="240" w:lineRule="auto"/>
              <w:rPr>
                <w:rFonts w:asciiTheme="minorHAnsi" w:hAnsiTheme="minorHAnsi" w:cstheme="minorHAnsi"/>
                <w:sz w:val="18"/>
                <w:szCs w:val="18"/>
              </w:rPr>
            </w:pPr>
            <w:r w:rsidRPr="00121F74">
              <w:rPr>
                <w:rFonts w:asciiTheme="minorHAnsi" w:hAnsiTheme="minorHAnsi" w:cstheme="minorHAnsi"/>
                <w:sz w:val="18"/>
                <w:szCs w:val="18"/>
              </w:rPr>
              <w:t xml:space="preserve">Θίγονται τα δικαιώματα </w:t>
            </w:r>
          </w:p>
          <w:p w14:paraId="7316ECA0" w14:textId="77777777" w:rsidR="009142E2" w:rsidRPr="00121F74" w:rsidRDefault="009142E2" w:rsidP="009142E2">
            <w:pPr>
              <w:numPr>
                <w:ilvl w:val="0"/>
                <w:numId w:val="4"/>
              </w:numPr>
              <w:spacing w:before="0" w:after="0" w:line="240" w:lineRule="auto"/>
              <w:ind w:left="322" w:hanging="283"/>
              <w:rPr>
                <w:rFonts w:asciiTheme="minorHAnsi" w:hAnsiTheme="minorHAnsi" w:cstheme="minorHAnsi"/>
                <w:sz w:val="18"/>
                <w:szCs w:val="18"/>
              </w:rPr>
            </w:pPr>
            <w:r w:rsidRPr="00121F74">
              <w:rPr>
                <w:rFonts w:asciiTheme="minorHAnsi" w:hAnsiTheme="minorHAnsi" w:cstheme="minorHAnsi"/>
                <w:sz w:val="18"/>
                <w:szCs w:val="18"/>
              </w:rPr>
              <w:t xml:space="preserve">της σκέψης, συνείδησης, </w:t>
            </w:r>
            <w:proofErr w:type="gramStart"/>
            <w:r w:rsidRPr="00121F74">
              <w:rPr>
                <w:rFonts w:asciiTheme="minorHAnsi" w:hAnsiTheme="minorHAnsi" w:cstheme="minorHAnsi"/>
                <w:sz w:val="18"/>
                <w:szCs w:val="18"/>
              </w:rPr>
              <w:t>θρησκείας;</w:t>
            </w:r>
            <w:proofErr w:type="gramEnd"/>
          </w:p>
          <w:p w14:paraId="5180AB03" w14:textId="77777777" w:rsidR="009142E2" w:rsidRPr="00121F74" w:rsidRDefault="009142E2" w:rsidP="009142E2">
            <w:pPr>
              <w:numPr>
                <w:ilvl w:val="0"/>
                <w:numId w:val="4"/>
              </w:numPr>
              <w:spacing w:before="0" w:after="0" w:line="240" w:lineRule="auto"/>
              <w:ind w:left="322" w:hanging="283"/>
              <w:rPr>
                <w:rFonts w:asciiTheme="minorHAnsi" w:hAnsiTheme="minorHAnsi" w:cstheme="minorHAnsi"/>
                <w:sz w:val="18"/>
                <w:szCs w:val="18"/>
              </w:rPr>
            </w:pPr>
            <w:r w:rsidRPr="00121F74">
              <w:rPr>
                <w:rFonts w:asciiTheme="minorHAnsi" w:hAnsiTheme="minorHAnsi" w:cstheme="minorHAnsi"/>
                <w:sz w:val="18"/>
                <w:szCs w:val="18"/>
              </w:rPr>
              <w:t xml:space="preserve">της έκφρασης και </w:t>
            </w:r>
            <w:proofErr w:type="gramStart"/>
            <w:r w:rsidRPr="00121F74">
              <w:rPr>
                <w:rFonts w:asciiTheme="minorHAnsi" w:hAnsiTheme="minorHAnsi" w:cstheme="minorHAnsi"/>
                <w:sz w:val="18"/>
                <w:szCs w:val="18"/>
              </w:rPr>
              <w:t>πληροφόρησης;</w:t>
            </w:r>
            <w:proofErr w:type="gramEnd"/>
            <w:r w:rsidRPr="00121F74">
              <w:rPr>
                <w:rFonts w:asciiTheme="minorHAnsi" w:hAnsiTheme="minorHAnsi" w:cstheme="minorHAnsi"/>
                <w:sz w:val="18"/>
                <w:szCs w:val="18"/>
              </w:rPr>
              <w:t xml:space="preserve"> </w:t>
            </w:r>
          </w:p>
          <w:p w14:paraId="502D79B7" w14:textId="77777777" w:rsidR="009142E2" w:rsidRPr="00121F74" w:rsidRDefault="009142E2" w:rsidP="009142E2">
            <w:pPr>
              <w:numPr>
                <w:ilvl w:val="0"/>
                <w:numId w:val="4"/>
              </w:numPr>
              <w:spacing w:before="0" w:after="0" w:line="240" w:lineRule="auto"/>
              <w:ind w:left="322" w:hanging="283"/>
              <w:rPr>
                <w:rFonts w:asciiTheme="minorHAnsi" w:hAnsiTheme="minorHAnsi" w:cstheme="minorHAnsi"/>
                <w:sz w:val="18"/>
                <w:szCs w:val="18"/>
              </w:rPr>
            </w:pPr>
            <w:r w:rsidRPr="00121F74">
              <w:rPr>
                <w:rFonts w:asciiTheme="minorHAnsi" w:hAnsiTheme="minorHAnsi" w:cstheme="minorHAnsi"/>
                <w:sz w:val="18"/>
                <w:szCs w:val="18"/>
              </w:rPr>
              <w:t xml:space="preserve">της τέχνης και </w:t>
            </w:r>
            <w:proofErr w:type="gramStart"/>
            <w:r w:rsidRPr="00121F74">
              <w:rPr>
                <w:rFonts w:asciiTheme="minorHAnsi" w:hAnsiTheme="minorHAnsi" w:cstheme="minorHAnsi"/>
                <w:sz w:val="18"/>
                <w:szCs w:val="18"/>
              </w:rPr>
              <w:t>επιστήμης;</w:t>
            </w:r>
            <w:proofErr w:type="gramEnd"/>
          </w:p>
          <w:p w14:paraId="7BA34355" w14:textId="77777777" w:rsidR="009142E2" w:rsidRPr="00121F74" w:rsidRDefault="009142E2" w:rsidP="009142E2">
            <w:pPr>
              <w:numPr>
                <w:ilvl w:val="0"/>
                <w:numId w:val="4"/>
              </w:numPr>
              <w:spacing w:before="0" w:after="0" w:line="240" w:lineRule="auto"/>
              <w:ind w:left="322" w:hanging="283"/>
              <w:rPr>
                <w:rFonts w:asciiTheme="minorHAnsi" w:hAnsiTheme="minorHAnsi" w:cstheme="minorHAnsi"/>
                <w:sz w:val="18"/>
                <w:szCs w:val="18"/>
              </w:rPr>
            </w:pPr>
            <w:r w:rsidRPr="00121F74">
              <w:rPr>
                <w:rFonts w:asciiTheme="minorHAnsi" w:hAnsiTheme="minorHAnsi" w:cstheme="minorHAnsi"/>
                <w:sz w:val="18"/>
                <w:szCs w:val="18"/>
              </w:rPr>
              <w:t xml:space="preserve">της </w:t>
            </w:r>
            <w:proofErr w:type="gramStart"/>
            <w:r w:rsidRPr="00121F74">
              <w:rPr>
                <w:rFonts w:asciiTheme="minorHAnsi" w:hAnsiTheme="minorHAnsi" w:cstheme="minorHAnsi"/>
                <w:sz w:val="18"/>
                <w:szCs w:val="18"/>
              </w:rPr>
              <w:t>εκπαίδευσης;</w:t>
            </w:r>
            <w:proofErr w:type="gramEnd"/>
          </w:p>
          <w:p w14:paraId="415B1CA0" w14:textId="77777777" w:rsidR="009142E2" w:rsidRPr="00121F74" w:rsidRDefault="009142E2" w:rsidP="009142E2">
            <w:pPr>
              <w:numPr>
                <w:ilvl w:val="0"/>
                <w:numId w:val="4"/>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της εργασίας και της ελευθερίας του επαγγέλματος; </w:t>
            </w:r>
          </w:p>
          <w:p w14:paraId="5F65ECA2" w14:textId="77777777" w:rsidR="009142E2" w:rsidRPr="00121F74" w:rsidRDefault="009142E2" w:rsidP="009142E2">
            <w:pPr>
              <w:numPr>
                <w:ilvl w:val="0"/>
                <w:numId w:val="4"/>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του συνέρχεστε και του συνεταιρίζεσθαι;</w:t>
            </w:r>
          </w:p>
          <w:p w14:paraId="6433D9C4" w14:textId="77777777" w:rsidR="009142E2" w:rsidRPr="00121F74" w:rsidRDefault="009142E2" w:rsidP="009142E2">
            <w:pPr>
              <w:numPr>
                <w:ilvl w:val="0"/>
                <w:numId w:val="4"/>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του γάμου και δημιουργίας οικογένειας ή τη νομική, οικονομική και κοινωνική προστασία της οικογένειας;</w:t>
            </w:r>
          </w:p>
          <w:p w14:paraId="34362904"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Γίνεται σεβαστή η ελεύθερη κυκλοφορία του ατόμου στο εσωτερικό της ΕΕ;</w:t>
            </w:r>
          </w:p>
        </w:tc>
      </w:tr>
      <w:tr w:rsidR="009142E2" w:rsidRPr="0031260F" w14:paraId="0BFF2AF9" w14:textId="77777777" w:rsidTr="00703869">
        <w:trPr>
          <w:trHeight w:val="340"/>
        </w:trPr>
        <w:tc>
          <w:tcPr>
            <w:tcW w:w="1844" w:type="dxa"/>
            <w:vMerge/>
            <w:vAlign w:val="center"/>
          </w:tcPr>
          <w:p w14:paraId="00DD9B27"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5095E2CF"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Ελευθερία σκέψης, συνείδησης και θρησκείες</w:t>
            </w:r>
          </w:p>
        </w:tc>
        <w:tc>
          <w:tcPr>
            <w:tcW w:w="4395" w:type="dxa"/>
            <w:vMerge/>
            <w:vAlign w:val="center"/>
          </w:tcPr>
          <w:p w14:paraId="212B0F85"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6937D9" w14:paraId="3DCAFAA7" w14:textId="77777777" w:rsidTr="00703869">
        <w:trPr>
          <w:trHeight w:val="340"/>
        </w:trPr>
        <w:tc>
          <w:tcPr>
            <w:tcW w:w="1844" w:type="dxa"/>
            <w:vMerge/>
            <w:vAlign w:val="center"/>
          </w:tcPr>
          <w:p w14:paraId="57205B23"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F552EE6"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rPr>
            </w:pPr>
            <w:r w:rsidRPr="00121F74">
              <w:rPr>
                <w:rFonts w:asciiTheme="minorHAnsi" w:hAnsiTheme="minorHAnsi" w:cstheme="minorHAnsi"/>
                <w:sz w:val="18"/>
                <w:szCs w:val="18"/>
              </w:rPr>
              <w:t>Ελευθερία έκφρασης και πληροφόρησης</w:t>
            </w:r>
          </w:p>
        </w:tc>
        <w:tc>
          <w:tcPr>
            <w:tcW w:w="4395" w:type="dxa"/>
            <w:vMerge/>
            <w:vAlign w:val="center"/>
          </w:tcPr>
          <w:p w14:paraId="51F4F795" w14:textId="77777777" w:rsidR="009142E2" w:rsidRPr="00121F74" w:rsidRDefault="009142E2" w:rsidP="00703869">
            <w:pPr>
              <w:spacing w:before="0" w:after="0" w:line="240" w:lineRule="auto"/>
              <w:rPr>
                <w:rFonts w:asciiTheme="minorHAnsi" w:hAnsiTheme="minorHAnsi" w:cstheme="minorHAnsi"/>
                <w:sz w:val="18"/>
                <w:szCs w:val="18"/>
              </w:rPr>
            </w:pPr>
          </w:p>
        </w:tc>
      </w:tr>
      <w:tr w:rsidR="009142E2" w:rsidRPr="0031260F" w14:paraId="2DFED440" w14:textId="77777777" w:rsidTr="00703869">
        <w:trPr>
          <w:trHeight w:val="340"/>
        </w:trPr>
        <w:tc>
          <w:tcPr>
            <w:tcW w:w="1844" w:type="dxa"/>
            <w:vMerge/>
            <w:vAlign w:val="center"/>
          </w:tcPr>
          <w:p w14:paraId="2EFEA53F"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7A162DC9"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Ελευθερία του συνέρχεστε και του συνεταιρίζεσθαι </w:t>
            </w:r>
          </w:p>
        </w:tc>
        <w:tc>
          <w:tcPr>
            <w:tcW w:w="4395" w:type="dxa"/>
            <w:vMerge/>
            <w:vAlign w:val="center"/>
          </w:tcPr>
          <w:p w14:paraId="3FE7784C"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7B1460AD" w14:textId="77777777" w:rsidTr="00703869">
        <w:trPr>
          <w:trHeight w:val="340"/>
        </w:trPr>
        <w:tc>
          <w:tcPr>
            <w:tcW w:w="1844" w:type="dxa"/>
            <w:vMerge/>
            <w:vAlign w:val="center"/>
          </w:tcPr>
          <w:p w14:paraId="24217085"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31E66CEB"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Ελευθερία της τέχνης και της επιστήμης </w:t>
            </w:r>
          </w:p>
        </w:tc>
        <w:tc>
          <w:tcPr>
            <w:tcW w:w="4395" w:type="dxa"/>
            <w:vMerge/>
            <w:vAlign w:val="center"/>
          </w:tcPr>
          <w:p w14:paraId="6FED3B99"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6937D9" w14:paraId="6D276713" w14:textId="77777777" w:rsidTr="00703869">
        <w:trPr>
          <w:trHeight w:val="340"/>
        </w:trPr>
        <w:tc>
          <w:tcPr>
            <w:tcW w:w="1844" w:type="dxa"/>
            <w:vMerge/>
            <w:vAlign w:val="center"/>
          </w:tcPr>
          <w:p w14:paraId="57CDD60A"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E992DF4"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rPr>
            </w:pPr>
            <w:r w:rsidRPr="00121F74">
              <w:rPr>
                <w:rFonts w:asciiTheme="minorHAnsi" w:hAnsiTheme="minorHAnsi" w:cstheme="minorHAnsi"/>
                <w:sz w:val="18"/>
                <w:szCs w:val="18"/>
              </w:rPr>
              <w:t>Δικαίωμα εκπαίδευσης</w:t>
            </w:r>
          </w:p>
        </w:tc>
        <w:tc>
          <w:tcPr>
            <w:tcW w:w="4395" w:type="dxa"/>
            <w:vMerge/>
            <w:vAlign w:val="center"/>
          </w:tcPr>
          <w:p w14:paraId="2584A7D5" w14:textId="77777777" w:rsidR="009142E2" w:rsidRPr="00121F74" w:rsidRDefault="009142E2" w:rsidP="00703869">
            <w:pPr>
              <w:spacing w:before="0" w:after="0" w:line="240" w:lineRule="auto"/>
              <w:rPr>
                <w:rFonts w:asciiTheme="minorHAnsi" w:hAnsiTheme="minorHAnsi" w:cstheme="minorHAnsi"/>
                <w:sz w:val="18"/>
                <w:szCs w:val="18"/>
              </w:rPr>
            </w:pPr>
          </w:p>
        </w:tc>
      </w:tr>
      <w:tr w:rsidR="009142E2" w:rsidRPr="0031260F" w14:paraId="5606D18C" w14:textId="77777777" w:rsidTr="00703869">
        <w:trPr>
          <w:trHeight w:val="340"/>
        </w:trPr>
        <w:tc>
          <w:tcPr>
            <w:tcW w:w="1844" w:type="dxa"/>
            <w:vMerge/>
            <w:vAlign w:val="center"/>
          </w:tcPr>
          <w:p w14:paraId="1BAA35CC"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6BDE8A2E"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Ελευθερία του επαγγέλματος και δικαίωμα προς εργασία</w:t>
            </w:r>
          </w:p>
        </w:tc>
        <w:tc>
          <w:tcPr>
            <w:tcW w:w="4395" w:type="dxa"/>
            <w:vMerge/>
            <w:vAlign w:val="center"/>
          </w:tcPr>
          <w:p w14:paraId="5367F3F5"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16FBC30D" w14:textId="77777777" w:rsidTr="00703869">
        <w:trPr>
          <w:trHeight w:val="1134"/>
        </w:trPr>
        <w:tc>
          <w:tcPr>
            <w:tcW w:w="1844" w:type="dxa"/>
            <w:vMerge/>
            <w:vAlign w:val="center"/>
          </w:tcPr>
          <w:p w14:paraId="5EA1D601"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19BBEA8"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rPr>
            </w:pPr>
            <w:r w:rsidRPr="00121F74">
              <w:rPr>
                <w:rFonts w:asciiTheme="minorHAnsi" w:hAnsiTheme="minorHAnsi" w:cstheme="minorHAnsi"/>
                <w:sz w:val="18"/>
                <w:szCs w:val="18"/>
              </w:rPr>
              <w:t>Επιχειρηματική ελευθερία</w:t>
            </w:r>
          </w:p>
        </w:tc>
        <w:tc>
          <w:tcPr>
            <w:tcW w:w="4395" w:type="dxa"/>
            <w:vAlign w:val="center"/>
          </w:tcPr>
          <w:p w14:paraId="4EEDE1C9"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Θίγεται η επιχειρηματική ελευθερία ή επιβάλλονται πρόσθετες απαιτήσεις οι οποίες αυξάνουν το κόστος των συναλλαγών για τους εμπλεκόμενους οικονομικούς φορείς; </w:t>
            </w:r>
          </w:p>
        </w:tc>
      </w:tr>
      <w:tr w:rsidR="009142E2" w:rsidRPr="006937D9" w14:paraId="31E798AB" w14:textId="77777777" w:rsidTr="00703869">
        <w:trPr>
          <w:trHeight w:val="1134"/>
        </w:trPr>
        <w:tc>
          <w:tcPr>
            <w:tcW w:w="1844" w:type="dxa"/>
            <w:vMerge/>
            <w:vAlign w:val="center"/>
          </w:tcPr>
          <w:p w14:paraId="53767F4C"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3FE5B95"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rPr>
            </w:pPr>
            <w:r w:rsidRPr="00121F74">
              <w:rPr>
                <w:rFonts w:asciiTheme="minorHAnsi" w:hAnsiTheme="minorHAnsi" w:cstheme="minorHAnsi"/>
                <w:sz w:val="18"/>
                <w:szCs w:val="18"/>
              </w:rPr>
              <w:t>Δικαίωμα Ιδιοκτησίας</w:t>
            </w:r>
          </w:p>
        </w:tc>
        <w:tc>
          <w:tcPr>
            <w:tcW w:w="4395" w:type="dxa"/>
            <w:vAlign w:val="center"/>
          </w:tcPr>
          <w:p w14:paraId="500C15DB"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Θίγονται τα δικαιώματα ιδιοκτησίας (γη, κινητά αγαθά, υλικά/άυλα στοιχεία ενεργητικού) ή περιορίζεται η αγορά, πώληση ή χρήση των δικαιωμάτων ιδιοκτησίας;</w:t>
            </w:r>
          </w:p>
          <w:p w14:paraId="7AAF4B45" w14:textId="77777777" w:rsidR="009142E2" w:rsidRPr="00121F74" w:rsidRDefault="009142E2" w:rsidP="00703869">
            <w:pPr>
              <w:spacing w:before="0" w:after="0" w:line="240" w:lineRule="auto"/>
              <w:rPr>
                <w:rFonts w:asciiTheme="minorHAnsi" w:hAnsiTheme="minorHAnsi" w:cstheme="minorHAnsi"/>
                <w:sz w:val="18"/>
                <w:szCs w:val="18"/>
              </w:rPr>
            </w:pPr>
            <w:r w:rsidRPr="00121F74">
              <w:rPr>
                <w:rFonts w:asciiTheme="minorHAnsi" w:hAnsiTheme="minorHAnsi" w:cstheme="minorHAnsi"/>
                <w:sz w:val="18"/>
                <w:szCs w:val="18"/>
                <w:lang w:val="el-GR"/>
              </w:rPr>
              <w:lastRenderedPageBreak/>
              <w:t xml:space="preserve">Εάν ναι, προκύπτει πλήρης απώλεια ιδιοκτησίας; Δικαιολογείται από την υλοποίηση της δράσης; </w:t>
            </w:r>
            <w:r w:rsidRPr="00121F74">
              <w:rPr>
                <w:rFonts w:asciiTheme="minorHAnsi" w:hAnsiTheme="minorHAnsi" w:cstheme="minorHAnsi"/>
                <w:sz w:val="18"/>
                <w:szCs w:val="18"/>
              </w:rPr>
              <w:t>Διασφαλίζεται η αποζημίωσή της μέσω μηχανισμών;</w:t>
            </w:r>
          </w:p>
        </w:tc>
      </w:tr>
      <w:tr w:rsidR="009142E2" w:rsidRPr="0031260F" w14:paraId="4662FC0A" w14:textId="77777777" w:rsidTr="00703869">
        <w:trPr>
          <w:trHeight w:val="340"/>
        </w:trPr>
        <w:tc>
          <w:tcPr>
            <w:tcW w:w="1844" w:type="dxa"/>
            <w:vMerge/>
            <w:vAlign w:val="center"/>
          </w:tcPr>
          <w:p w14:paraId="1CD8A2AD"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3DE5966C" w14:textId="77777777" w:rsidR="009142E2" w:rsidRPr="00121F74" w:rsidRDefault="009142E2" w:rsidP="009142E2">
            <w:pPr>
              <w:numPr>
                <w:ilvl w:val="0"/>
                <w:numId w:val="1"/>
              </w:numPr>
              <w:spacing w:before="0" w:after="0" w:line="240" w:lineRule="auto"/>
              <w:ind w:left="285" w:hanging="284"/>
              <w:contextualSpacing/>
              <w:rPr>
                <w:rFonts w:asciiTheme="minorHAnsi" w:hAnsiTheme="minorHAnsi" w:cstheme="minorHAnsi"/>
                <w:sz w:val="18"/>
                <w:szCs w:val="18"/>
              </w:rPr>
            </w:pPr>
            <w:r w:rsidRPr="00121F74">
              <w:rPr>
                <w:rFonts w:asciiTheme="minorHAnsi" w:hAnsiTheme="minorHAnsi" w:cstheme="minorHAnsi"/>
                <w:sz w:val="18"/>
                <w:szCs w:val="18"/>
              </w:rPr>
              <w:t>Δικαίωμα Ασύλου</w:t>
            </w:r>
          </w:p>
        </w:tc>
        <w:tc>
          <w:tcPr>
            <w:tcW w:w="4395" w:type="dxa"/>
            <w:vMerge w:val="restart"/>
            <w:vAlign w:val="center"/>
          </w:tcPr>
          <w:p w14:paraId="2BC88354"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Θίγεται το δικαίωμα ασύλου και υπάρχουν εγγυήσεις για την απαγόρευση απελάσεων ή έκδοσης ατόμων προς κράτη όπου διατρέχουν κίνδυνο να τους επιβληθεί η ποινή του θανάτου ή να υποβληθούν σε βασανιστήρια ή εξευτελιστική μεταχείριση;</w:t>
            </w:r>
          </w:p>
        </w:tc>
      </w:tr>
      <w:tr w:rsidR="009142E2" w:rsidRPr="0031260F" w14:paraId="2723E459" w14:textId="77777777" w:rsidTr="00703869">
        <w:trPr>
          <w:trHeight w:val="854"/>
        </w:trPr>
        <w:tc>
          <w:tcPr>
            <w:tcW w:w="1844" w:type="dxa"/>
            <w:vMerge/>
            <w:vAlign w:val="center"/>
          </w:tcPr>
          <w:p w14:paraId="5E6BF342"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6E600CD5"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Προστασία σε περίπτωση απομάκρυνσης, απέλασης και έκδοσης</w:t>
            </w:r>
          </w:p>
        </w:tc>
        <w:tc>
          <w:tcPr>
            <w:tcW w:w="4395" w:type="dxa"/>
            <w:vMerge/>
            <w:vAlign w:val="center"/>
          </w:tcPr>
          <w:p w14:paraId="75D929C2"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6937D9" w14:paraId="42DCB7FB" w14:textId="77777777" w:rsidTr="00703869">
        <w:trPr>
          <w:trHeight w:val="340"/>
        </w:trPr>
        <w:tc>
          <w:tcPr>
            <w:tcW w:w="1844" w:type="dxa"/>
            <w:vMerge w:val="restart"/>
            <w:vAlign w:val="center"/>
          </w:tcPr>
          <w:p w14:paraId="26FC0153" w14:textId="77777777" w:rsidR="009142E2" w:rsidRPr="00121F74" w:rsidRDefault="009142E2" w:rsidP="00703869">
            <w:pPr>
              <w:spacing w:before="0" w:after="0" w:line="240" w:lineRule="auto"/>
              <w:jc w:val="center"/>
              <w:rPr>
                <w:rFonts w:asciiTheme="minorHAnsi" w:hAnsiTheme="minorHAnsi" w:cstheme="minorHAnsi"/>
                <w:sz w:val="18"/>
                <w:szCs w:val="18"/>
              </w:rPr>
            </w:pPr>
            <w:r w:rsidRPr="00121F74">
              <w:rPr>
                <w:rFonts w:asciiTheme="minorHAnsi" w:hAnsiTheme="minorHAnsi" w:cstheme="minorHAnsi"/>
                <w:sz w:val="18"/>
                <w:szCs w:val="18"/>
              </w:rPr>
              <w:t xml:space="preserve">Τίτλος ΙΙΙ </w:t>
            </w:r>
            <w:r w:rsidRPr="00121F74">
              <w:rPr>
                <w:rFonts w:asciiTheme="minorHAnsi" w:hAnsiTheme="minorHAnsi" w:cstheme="minorHAnsi"/>
                <w:b/>
                <w:sz w:val="18"/>
                <w:szCs w:val="18"/>
              </w:rPr>
              <w:t>«ΙΣΟΤΗΤΑ»</w:t>
            </w:r>
          </w:p>
        </w:tc>
        <w:tc>
          <w:tcPr>
            <w:tcW w:w="3538" w:type="dxa"/>
            <w:vAlign w:val="center"/>
          </w:tcPr>
          <w:p w14:paraId="2CCBA292"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rPr>
            </w:pPr>
            <w:r w:rsidRPr="00121F74">
              <w:rPr>
                <w:rFonts w:asciiTheme="minorHAnsi" w:hAnsiTheme="minorHAnsi" w:cstheme="minorHAnsi"/>
                <w:sz w:val="18"/>
                <w:szCs w:val="18"/>
              </w:rPr>
              <w:t>Ισότητα έναντι του Νόμου</w:t>
            </w:r>
          </w:p>
        </w:tc>
        <w:tc>
          <w:tcPr>
            <w:tcW w:w="4395" w:type="dxa"/>
            <w:vMerge w:val="restart"/>
            <w:vAlign w:val="center"/>
          </w:tcPr>
          <w:p w14:paraId="1B289794" w14:textId="77777777" w:rsidR="009142E2" w:rsidRPr="00121F74" w:rsidRDefault="009142E2" w:rsidP="00703869">
            <w:pPr>
              <w:spacing w:before="0" w:after="0" w:line="240" w:lineRule="auto"/>
              <w:rPr>
                <w:rFonts w:asciiTheme="minorHAnsi" w:hAnsiTheme="minorHAnsi" w:cstheme="minorHAnsi"/>
                <w:sz w:val="18"/>
                <w:szCs w:val="18"/>
              </w:rPr>
            </w:pPr>
            <w:r w:rsidRPr="00121F74">
              <w:rPr>
                <w:rFonts w:asciiTheme="minorHAnsi" w:hAnsiTheme="minorHAnsi" w:cstheme="minorHAnsi"/>
                <w:sz w:val="18"/>
                <w:szCs w:val="18"/>
              </w:rPr>
              <w:t xml:space="preserve">Διασφαλίζονται οι αρχές της </w:t>
            </w:r>
          </w:p>
          <w:p w14:paraId="7F4BC8C0" w14:textId="77777777" w:rsidR="009142E2" w:rsidRPr="00121F74" w:rsidRDefault="009142E2" w:rsidP="009142E2">
            <w:pPr>
              <w:numPr>
                <w:ilvl w:val="0"/>
                <w:numId w:val="5"/>
              </w:numPr>
              <w:spacing w:before="0" w:after="0" w:line="240" w:lineRule="auto"/>
              <w:ind w:left="322" w:hanging="283"/>
              <w:rPr>
                <w:rFonts w:asciiTheme="minorHAnsi" w:hAnsiTheme="minorHAnsi" w:cstheme="minorHAnsi"/>
                <w:sz w:val="18"/>
                <w:szCs w:val="18"/>
              </w:rPr>
            </w:pPr>
            <w:r w:rsidRPr="00121F74">
              <w:rPr>
                <w:rFonts w:asciiTheme="minorHAnsi" w:hAnsiTheme="minorHAnsi" w:cstheme="minorHAnsi"/>
                <w:sz w:val="18"/>
                <w:szCs w:val="18"/>
              </w:rPr>
              <w:t xml:space="preserve">ισότητας έναντι του </w:t>
            </w:r>
            <w:proofErr w:type="gramStart"/>
            <w:r w:rsidRPr="00121F74">
              <w:rPr>
                <w:rFonts w:asciiTheme="minorHAnsi" w:hAnsiTheme="minorHAnsi" w:cstheme="minorHAnsi"/>
                <w:sz w:val="18"/>
                <w:szCs w:val="18"/>
              </w:rPr>
              <w:t>νόμου;</w:t>
            </w:r>
            <w:proofErr w:type="gramEnd"/>
            <w:r w:rsidRPr="00121F74">
              <w:rPr>
                <w:rFonts w:asciiTheme="minorHAnsi" w:hAnsiTheme="minorHAnsi" w:cstheme="minorHAnsi"/>
                <w:sz w:val="18"/>
                <w:szCs w:val="18"/>
              </w:rPr>
              <w:t xml:space="preserve"> </w:t>
            </w:r>
          </w:p>
          <w:p w14:paraId="1961729A" w14:textId="77777777" w:rsidR="009142E2" w:rsidRPr="00121F74" w:rsidRDefault="009142E2" w:rsidP="009142E2">
            <w:pPr>
              <w:numPr>
                <w:ilvl w:val="0"/>
                <w:numId w:val="5"/>
              </w:numPr>
              <w:spacing w:before="0" w:after="0" w:line="240" w:lineRule="auto"/>
              <w:ind w:left="322" w:hanging="283"/>
              <w:rPr>
                <w:rFonts w:asciiTheme="minorHAnsi" w:hAnsiTheme="minorHAnsi" w:cstheme="minorHAnsi"/>
                <w:sz w:val="18"/>
                <w:szCs w:val="18"/>
              </w:rPr>
            </w:pPr>
            <w:r w:rsidRPr="00121F74">
              <w:rPr>
                <w:rFonts w:asciiTheme="minorHAnsi" w:hAnsiTheme="minorHAnsi" w:cstheme="minorHAnsi"/>
                <w:sz w:val="18"/>
                <w:szCs w:val="18"/>
              </w:rPr>
              <w:t xml:space="preserve">απαγόρευσης των </w:t>
            </w:r>
            <w:proofErr w:type="gramStart"/>
            <w:r w:rsidRPr="00121F74">
              <w:rPr>
                <w:rFonts w:asciiTheme="minorHAnsi" w:hAnsiTheme="minorHAnsi" w:cstheme="minorHAnsi"/>
                <w:sz w:val="18"/>
                <w:szCs w:val="18"/>
              </w:rPr>
              <w:t>διακρίσεων;</w:t>
            </w:r>
            <w:proofErr w:type="gramEnd"/>
            <w:r w:rsidRPr="00121F74">
              <w:rPr>
                <w:rFonts w:asciiTheme="minorHAnsi" w:hAnsiTheme="minorHAnsi" w:cstheme="minorHAnsi"/>
                <w:sz w:val="18"/>
                <w:szCs w:val="18"/>
              </w:rPr>
              <w:t xml:space="preserve"> </w:t>
            </w:r>
          </w:p>
          <w:p w14:paraId="4A76335E" w14:textId="77777777" w:rsidR="009142E2" w:rsidRPr="00121F74" w:rsidRDefault="009142E2" w:rsidP="009142E2">
            <w:pPr>
              <w:numPr>
                <w:ilvl w:val="0"/>
                <w:numId w:val="5"/>
              </w:numPr>
              <w:spacing w:before="0" w:after="0" w:line="240" w:lineRule="auto"/>
              <w:ind w:left="322" w:hanging="283"/>
              <w:rPr>
                <w:rFonts w:asciiTheme="minorHAnsi" w:hAnsiTheme="minorHAnsi" w:cstheme="minorHAnsi"/>
                <w:sz w:val="18"/>
                <w:szCs w:val="18"/>
              </w:rPr>
            </w:pPr>
            <w:r w:rsidRPr="00121F74">
              <w:rPr>
                <w:rFonts w:asciiTheme="minorHAnsi" w:hAnsiTheme="minorHAnsi" w:cstheme="minorHAnsi"/>
                <w:sz w:val="18"/>
                <w:szCs w:val="18"/>
              </w:rPr>
              <w:t xml:space="preserve">ίσης </w:t>
            </w:r>
            <w:proofErr w:type="gramStart"/>
            <w:r w:rsidRPr="00121F74">
              <w:rPr>
                <w:rFonts w:asciiTheme="minorHAnsi" w:hAnsiTheme="minorHAnsi" w:cstheme="minorHAnsi"/>
                <w:sz w:val="18"/>
                <w:szCs w:val="18"/>
              </w:rPr>
              <w:t>μεταχείρισης;</w:t>
            </w:r>
            <w:proofErr w:type="gramEnd"/>
            <w:r w:rsidRPr="00121F74">
              <w:rPr>
                <w:rFonts w:asciiTheme="minorHAnsi" w:hAnsiTheme="minorHAnsi" w:cstheme="minorHAnsi"/>
                <w:sz w:val="18"/>
                <w:szCs w:val="18"/>
              </w:rPr>
              <w:t xml:space="preserve"> </w:t>
            </w:r>
          </w:p>
          <w:p w14:paraId="339D8A8B" w14:textId="77777777" w:rsidR="009142E2" w:rsidRPr="00121F74" w:rsidRDefault="009142E2" w:rsidP="009142E2">
            <w:pPr>
              <w:numPr>
                <w:ilvl w:val="0"/>
                <w:numId w:val="5"/>
              </w:numPr>
              <w:spacing w:before="0" w:after="0" w:line="240" w:lineRule="auto"/>
              <w:ind w:left="322" w:hanging="283"/>
              <w:rPr>
                <w:rFonts w:asciiTheme="minorHAnsi" w:hAnsiTheme="minorHAnsi" w:cstheme="minorHAnsi"/>
                <w:sz w:val="18"/>
                <w:szCs w:val="18"/>
              </w:rPr>
            </w:pPr>
            <w:r w:rsidRPr="00121F74">
              <w:rPr>
                <w:rFonts w:asciiTheme="minorHAnsi" w:hAnsiTheme="minorHAnsi" w:cstheme="minorHAnsi"/>
                <w:sz w:val="18"/>
                <w:szCs w:val="18"/>
              </w:rPr>
              <w:t xml:space="preserve">ισότητας των </w:t>
            </w:r>
            <w:proofErr w:type="gramStart"/>
            <w:r w:rsidRPr="00121F74">
              <w:rPr>
                <w:rFonts w:asciiTheme="minorHAnsi" w:hAnsiTheme="minorHAnsi" w:cstheme="minorHAnsi"/>
                <w:sz w:val="18"/>
                <w:szCs w:val="18"/>
              </w:rPr>
              <w:t>φύλων;</w:t>
            </w:r>
            <w:proofErr w:type="gramEnd"/>
            <w:r w:rsidRPr="00121F74">
              <w:rPr>
                <w:rFonts w:asciiTheme="minorHAnsi" w:hAnsiTheme="minorHAnsi" w:cstheme="minorHAnsi"/>
                <w:sz w:val="18"/>
                <w:szCs w:val="18"/>
              </w:rPr>
              <w:t xml:space="preserve"> </w:t>
            </w:r>
          </w:p>
          <w:p w14:paraId="3DD8D7D4" w14:textId="77777777" w:rsidR="009142E2" w:rsidRPr="00121F74" w:rsidRDefault="009142E2" w:rsidP="009142E2">
            <w:pPr>
              <w:numPr>
                <w:ilvl w:val="0"/>
                <w:numId w:val="5"/>
              </w:numPr>
              <w:spacing w:before="0" w:after="0" w:line="240" w:lineRule="auto"/>
              <w:ind w:left="322" w:hanging="283"/>
              <w:rPr>
                <w:rFonts w:asciiTheme="minorHAnsi" w:hAnsiTheme="minorHAnsi" w:cstheme="minorHAnsi"/>
                <w:sz w:val="18"/>
                <w:szCs w:val="18"/>
              </w:rPr>
            </w:pPr>
            <w:r w:rsidRPr="00121F74">
              <w:rPr>
                <w:rFonts w:asciiTheme="minorHAnsi" w:hAnsiTheme="minorHAnsi" w:cstheme="minorHAnsi"/>
                <w:sz w:val="18"/>
                <w:szCs w:val="18"/>
              </w:rPr>
              <w:t>ίσων ευκαιριών για όλους;</w:t>
            </w:r>
          </w:p>
        </w:tc>
      </w:tr>
      <w:tr w:rsidR="009142E2" w:rsidRPr="006937D9" w14:paraId="107A1F58" w14:textId="77777777" w:rsidTr="00703869">
        <w:trPr>
          <w:trHeight w:val="340"/>
        </w:trPr>
        <w:tc>
          <w:tcPr>
            <w:tcW w:w="1844" w:type="dxa"/>
            <w:vMerge/>
            <w:vAlign w:val="center"/>
          </w:tcPr>
          <w:p w14:paraId="288AFB77"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76DDD18E"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rPr>
            </w:pPr>
            <w:r w:rsidRPr="00121F74">
              <w:rPr>
                <w:rFonts w:asciiTheme="minorHAnsi" w:hAnsiTheme="minorHAnsi" w:cstheme="minorHAnsi"/>
                <w:sz w:val="18"/>
                <w:szCs w:val="18"/>
              </w:rPr>
              <w:t xml:space="preserve">Απαγόρευση Διακρίσεων </w:t>
            </w:r>
          </w:p>
        </w:tc>
        <w:tc>
          <w:tcPr>
            <w:tcW w:w="4395" w:type="dxa"/>
            <w:vMerge/>
            <w:vAlign w:val="center"/>
          </w:tcPr>
          <w:p w14:paraId="36BD1FCF" w14:textId="77777777" w:rsidR="009142E2" w:rsidRPr="00121F74" w:rsidRDefault="009142E2" w:rsidP="00703869">
            <w:pPr>
              <w:spacing w:before="0" w:after="0" w:line="240" w:lineRule="auto"/>
              <w:rPr>
                <w:rFonts w:asciiTheme="minorHAnsi" w:hAnsiTheme="minorHAnsi" w:cstheme="minorHAnsi"/>
                <w:sz w:val="18"/>
                <w:szCs w:val="18"/>
              </w:rPr>
            </w:pPr>
          </w:p>
        </w:tc>
      </w:tr>
      <w:tr w:rsidR="009142E2" w:rsidRPr="0031260F" w14:paraId="7F5DD593" w14:textId="77777777" w:rsidTr="00703869">
        <w:trPr>
          <w:trHeight w:val="340"/>
        </w:trPr>
        <w:tc>
          <w:tcPr>
            <w:tcW w:w="1844" w:type="dxa"/>
            <w:vMerge/>
            <w:vAlign w:val="center"/>
          </w:tcPr>
          <w:p w14:paraId="38112FF6"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0669C4AA"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Πολιτιστική, θρησκευτική και γλωσσική πολυμορφία</w:t>
            </w:r>
          </w:p>
        </w:tc>
        <w:tc>
          <w:tcPr>
            <w:tcW w:w="4395" w:type="dxa"/>
            <w:vMerge/>
            <w:vAlign w:val="center"/>
          </w:tcPr>
          <w:p w14:paraId="22AA6E7F"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6937D9" w14:paraId="52891FC6" w14:textId="77777777" w:rsidTr="00703869">
        <w:trPr>
          <w:trHeight w:val="340"/>
        </w:trPr>
        <w:tc>
          <w:tcPr>
            <w:tcW w:w="1844" w:type="dxa"/>
            <w:vMerge/>
            <w:vAlign w:val="center"/>
          </w:tcPr>
          <w:p w14:paraId="4DD767A1"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5BAF75CF"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rPr>
            </w:pPr>
            <w:r w:rsidRPr="00121F74">
              <w:rPr>
                <w:rFonts w:asciiTheme="minorHAnsi" w:hAnsiTheme="minorHAnsi" w:cstheme="minorHAnsi"/>
                <w:sz w:val="18"/>
                <w:szCs w:val="18"/>
              </w:rPr>
              <w:t xml:space="preserve">Ισότητα γυναικών και ανδρών </w:t>
            </w:r>
          </w:p>
        </w:tc>
        <w:tc>
          <w:tcPr>
            <w:tcW w:w="4395" w:type="dxa"/>
            <w:vMerge/>
            <w:vAlign w:val="center"/>
          </w:tcPr>
          <w:p w14:paraId="75477CBC" w14:textId="77777777" w:rsidR="009142E2" w:rsidRPr="00121F74" w:rsidRDefault="009142E2" w:rsidP="00703869">
            <w:pPr>
              <w:spacing w:before="0" w:after="0" w:line="240" w:lineRule="auto"/>
              <w:rPr>
                <w:rFonts w:asciiTheme="minorHAnsi" w:hAnsiTheme="minorHAnsi" w:cstheme="minorHAnsi"/>
                <w:sz w:val="18"/>
                <w:szCs w:val="18"/>
              </w:rPr>
            </w:pPr>
          </w:p>
        </w:tc>
      </w:tr>
      <w:tr w:rsidR="009142E2" w:rsidRPr="0031260F" w14:paraId="25B4BB9F" w14:textId="77777777" w:rsidTr="00703869">
        <w:trPr>
          <w:trHeight w:val="1211"/>
        </w:trPr>
        <w:tc>
          <w:tcPr>
            <w:tcW w:w="1844" w:type="dxa"/>
            <w:vMerge/>
            <w:vAlign w:val="center"/>
          </w:tcPr>
          <w:p w14:paraId="7194C2EC"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7306C953"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rPr>
            </w:pPr>
            <w:r w:rsidRPr="00121F74">
              <w:rPr>
                <w:rFonts w:asciiTheme="minorHAnsi" w:hAnsiTheme="minorHAnsi" w:cstheme="minorHAnsi"/>
                <w:sz w:val="18"/>
                <w:szCs w:val="18"/>
              </w:rPr>
              <w:t>Δικαιώματα του παιδιού</w:t>
            </w:r>
          </w:p>
        </w:tc>
        <w:tc>
          <w:tcPr>
            <w:tcW w:w="4395" w:type="dxa"/>
            <w:vAlign w:val="center"/>
          </w:tcPr>
          <w:p w14:paraId="66665D13"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Θίγεται η αρχή του υπέρτατου συμφέροντος του παιδιού; </w:t>
            </w:r>
          </w:p>
          <w:p w14:paraId="000D9FB6"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Προάγεται η προστασία των δικαιωμάτων του παιδιού, λαμβάνοντας υπόψη τις αρχές και τα δικαιώματα της Σύμβασης Δικαιωμάτων του Παιδιού των Ηνωμένων Εθνών;</w:t>
            </w:r>
          </w:p>
        </w:tc>
      </w:tr>
      <w:tr w:rsidR="009142E2" w:rsidRPr="0031260F" w14:paraId="4FA7C72B" w14:textId="77777777" w:rsidTr="00703869">
        <w:trPr>
          <w:trHeight w:val="340"/>
        </w:trPr>
        <w:tc>
          <w:tcPr>
            <w:tcW w:w="1844" w:type="dxa"/>
            <w:vMerge/>
            <w:vAlign w:val="center"/>
          </w:tcPr>
          <w:p w14:paraId="218E8693"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73CD8546"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rPr>
            </w:pPr>
            <w:r w:rsidRPr="00121F74">
              <w:rPr>
                <w:rFonts w:asciiTheme="minorHAnsi" w:hAnsiTheme="minorHAnsi" w:cstheme="minorHAnsi"/>
                <w:sz w:val="18"/>
                <w:szCs w:val="18"/>
              </w:rPr>
              <w:t xml:space="preserve">Δικαιώματα των ηλικιωμένων </w:t>
            </w:r>
          </w:p>
        </w:tc>
        <w:tc>
          <w:tcPr>
            <w:tcW w:w="4395" w:type="dxa"/>
            <w:vAlign w:val="center"/>
          </w:tcPr>
          <w:p w14:paraId="2E7EC066"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Διασφαλίζονται τα δικαιώματα των ηλικιωμένων; </w:t>
            </w:r>
          </w:p>
        </w:tc>
      </w:tr>
      <w:tr w:rsidR="009142E2" w:rsidRPr="0031260F" w14:paraId="675A47FF" w14:textId="77777777" w:rsidTr="00703869">
        <w:trPr>
          <w:trHeight w:val="340"/>
        </w:trPr>
        <w:tc>
          <w:tcPr>
            <w:tcW w:w="1844" w:type="dxa"/>
            <w:vMerge/>
            <w:vAlign w:val="center"/>
          </w:tcPr>
          <w:p w14:paraId="7290ACB6"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333EB821"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Ένταξη των ατόμων με αναπηρίες</w:t>
            </w:r>
          </w:p>
        </w:tc>
        <w:tc>
          <w:tcPr>
            <w:tcW w:w="4395" w:type="dxa"/>
            <w:vAlign w:val="center"/>
          </w:tcPr>
          <w:p w14:paraId="082AA721"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Διασφαλίζεται ο σεβασμός των δικαιωμάτων των ατόμων με αναπηρίες, σύμφωνα με τη σύμβαση των Ηνωμένων Εθνών για τα δικαιώματα των ατόμων με αναπηρίες;</w:t>
            </w:r>
          </w:p>
        </w:tc>
      </w:tr>
      <w:tr w:rsidR="009142E2" w:rsidRPr="0031260F" w14:paraId="60B704E6" w14:textId="77777777" w:rsidTr="00703869">
        <w:trPr>
          <w:trHeight w:val="510"/>
        </w:trPr>
        <w:tc>
          <w:tcPr>
            <w:tcW w:w="1844" w:type="dxa"/>
            <w:vMerge w:val="restart"/>
            <w:vAlign w:val="center"/>
          </w:tcPr>
          <w:p w14:paraId="0D88E585" w14:textId="77777777" w:rsidR="009142E2" w:rsidRPr="00121F74" w:rsidRDefault="009142E2" w:rsidP="00703869">
            <w:pPr>
              <w:spacing w:before="0" w:after="0" w:line="240" w:lineRule="auto"/>
              <w:jc w:val="center"/>
              <w:rPr>
                <w:rFonts w:asciiTheme="minorHAnsi" w:hAnsiTheme="minorHAnsi" w:cstheme="minorHAnsi"/>
                <w:sz w:val="18"/>
                <w:szCs w:val="18"/>
              </w:rPr>
            </w:pPr>
            <w:r w:rsidRPr="00121F74">
              <w:rPr>
                <w:rFonts w:asciiTheme="minorHAnsi" w:hAnsiTheme="minorHAnsi" w:cstheme="minorHAnsi"/>
                <w:sz w:val="18"/>
                <w:szCs w:val="18"/>
              </w:rPr>
              <w:t xml:space="preserve">Τίτλος IV </w:t>
            </w:r>
            <w:r w:rsidRPr="00121F74">
              <w:rPr>
                <w:rFonts w:asciiTheme="minorHAnsi" w:hAnsiTheme="minorHAnsi" w:cstheme="minorHAnsi"/>
                <w:b/>
                <w:sz w:val="18"/>
                <w:szCs w:val="18"/>
              </w:rPr>
              <w:t>«ΑΛΛΗΛΕΓΓΥΗ»</w:t>
            </w:r>
          </w:p>
        </w:tc>
        <w:tc>
          <w:tcPr>
            <w:tcW w:w="3538" w:type="dxa"/>
            <w:vAlign w:val="center"/>
          </w:tcPr>
          <w:p w14:paraId="57D9D7A9"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Δικαίωμα των εργαζομένων στην ενημέρωση και τη διαβούλευση στο πλαίσιο της επιχείρησης</w:t>
            </w:r>
          </w:p>
        </w:tc>
        <w:tc>
          <w:tcPr>
            <w:tcW w:w="4395" w:type="dxa"/>
            <w:vMerge w:val="restart"/>
            <w:vAlign w:val="center"/>
          </w:tcPr>
          <w:p w14:paraId="5B335F03"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Γίνονται σεβαστά τα δικαιώματα των εργαζομένων, όπως : </w:t>
            </w:r>
          </w:p>
          <w:p w14:paraId="5CD0D027" w14:textId="77777777" w:rsidR="009142E2" w:rsidRPr="00121F74" w:rsidRDefault="009142E2" w:rsidP="009142E2">
            <w:pPr>
              <w:numPr>
                <w:ilvl w:val="0"/>
                <w:numId w:val="6"/>
              </w:numPr>
              <w:spacing w:before="0" w:after="0" w:line="240" w:lineRule="auto"/>
              <w:ind w:left="322" w:hanging="283"/>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ενημέρωση και διαβούλευση στο πλαίσιο της επιχείρησης;</w:t>
            </w:r>
          </w:p>
          <w:p w14:paraId="51CE4EBE" w14:textId="77777777" w:rsidR="009142E2" w:rsidRPr="00121F74" w:rsidRDefault="009142E2" w:rsidP="009142E2">
            <w:pPr>
              <w:numPr>
                <w:ilvl w:val="0"/>
                <w:numId w:val="6"/>
              </w:numPr>
              <w:spacing w:before="0" w:after="0" w:line="240" w:lineRule="auto"/>
              <w:ind w:left="322" w:hanging="283"/>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συλλογική διαπραγμάτευσης και συλλογικών δράσεων;</w:t>
            </w:r>
          </w:p>
          <w:p w14:paraId="72AFC269" w14:textId="77777777" w:rsidR="009142E2" w:rsidRPr="00121F74" w:rsidRDefault="009142E2" w:rsidP="009142E2">
            <w:pPr>
              <w:numPr>
                <w:ilvl w:val="0"/>
                <w:numId w:val="6"/>
              </w:numPr>
              <w:spacing w:before="0" w:after="0" w:line="240" w:lineRule="auto"/>
              <w:ind w:left="322" w:hanging="283"/>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πρόσβαση στις υπηρεσίες εύρεσης εργασίας; </w:t>
            </w:r>
          </w:p>
          <w:p w14:paraId="5BC22BDB" w14:textId="77777777" w:rsidR="009142E2" w:rsidRPr="00121F74" w:rsidRDefault="009142E2" w:rsidP="009142E2">
            <w:pPr>
              <w:numPr>
                <w:ilvl w:val="0"/>
                <w:numId w:val="6"/>
              </w:numPr>
              <w:spacing w:before="0" w:after="0" w:line="240" w:lineRule="auto"/>
              <w:ind w:left="322" w:hanging="283"/>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προστασία σε περίπτωση αδικαιολόγητης απόλυσης; </w:t>
            </w:r>
          </w:p>
          <w:p w14:paraId="4319582F" w14:textId="77777777" w:rsidR="009142E2" w:rsidRPr="00121F74" w:rsidRDefault="009142E2" w:rsidP="009142E2">
            <w:pPr>
              <w:numPr>
                <w:ilvl w:val="0"/>
                <w:numId w:val="6"/>
              </w:numPr>
              <w:spacing w:before="0" w:after="0" w:line="240" w:lineRule="auto"/>
              <w:ind w:left="322" w:hanging="283"/>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δίκαιων και πρόσφορών συνθηκών εργασίας; </w:t>
            </w:r>
          </w:p>
          <w:p w14:paraId="3E58E4EE" w14:textId="77777777" w:rsidR="009142E2" w:rsidRPr="00121F74" w:rsidRDefault="009142E2" w:rsidP="009142E2">
            <w:pPr>
              <w:numPr>
                <w:ilvl w:val="0"/>
                <w:numId w:val="6"/>
              </w:numPr>
              <w:spacing w:before="0" w:after="0" w:line="240" w:lineRule="auto"/>
              <w:ind w:left="322" w:hanging="283"/>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απαγόρευση εργασίας παιδιών και προστασία των νέων στην εργασία;</w:t>
            </w:r>
          </w:p>
          <w:p w14:paraId="735360D7" w14:textId="77777777" w:rsidR="009142E2" w:rsidRPr="00121F74" w:rsidRDefault="009142E2" w:rsidP="009142E2">
            <w:pPr>
              <w:numPr>
                <w:ilvl w:val="0"/>
                <w:numId w:val="6"/>
              </w:numPr>
              <w:spacing w:before="0" w:after="0" w:line="240" w:lineRule="auto"/>
              <w:ind w:left="322" w:hanging="283"/>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πρόσβαση στις παροχές κοινωνικής ασφάλισης και κοινωνικών υπηρεσιών (υγεία, γενικού οικονομικού ενδιαφέροντος);</w:t>
            </w:r>
          </w:p>
        </w:tc>
      </w:tr>
      <w:tr w:rsidR="009142E2" w:rsidRPr="0031260F" w14:paraId="253D0BA0" w14:textId="77777777" w:rsidTr="00703869">
        <w:trPr>
          <w:trHeight w:val="397"/>
        </w:trPr>
        <w:tc>
          <w:tcPr>
            <w:tcW w:w="1844" w:type="dxa"/>
            <w:vMerge/>
            <w:vAlign w:val="center"/>
          </w:tcPr>
          <w:p w14:paraId="6843E1DD"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F3CD439"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Δικαίωμα διαπραγμάτευσης και συλλογικών δράσεων </w:t>
            </w:r>
          </w:p>
        </w:tc>
        <w:tc>
          <w:tcPr>
            <w:tcW w:w="4395" w:type="dxa"/>
            <w:vMerge/>
            <w:vAlign w:val="center"/>
          </w:tcPr>
          <w:p w14:paraId="2BA648A1"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1C2E388C" w14:textId="77777777" w:rsidTr="00703869">
        <w:trPr>
          <w:trHeight w:val="397"/>
        </w:trPr>
        <w:tc>
          <w:tcPr>
            <w:tcW w:w="1844" w:type="dxa"/>
            <w:vMerge/>
            <w:vAlign w:val="center"/>
          </w:tcPr>
          <w:p w14:paraId="31F3C960"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70812FF4"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Δικαίωμα πρόσβασης στις υπηρεσίες ευρέσεως εργασίας</w:t>
            </w:r>
          </w:p>
        </w:tc>
        <w:tc>
          <w:tcPr>
            <w:tcW w:w="4395" w:type="dxa"/>
            <w:vMerge/>
            <w:vAlign w:val="center"/>
          </w:tcPr>
          <w:p w14:paraId="271999CE"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3A5515E2" w14:textId="77777777" w:rsidTr="00703869">
        <w:trPr>
          <w:trHeight w:val="397"/>
        </w:trPr>
        <w:tc>
          <w:tcPr>
            <w:tcW w:w="1844" w:type="dxa"/>
            <w:vMerge/>
            <w:vAlign w:val="center"/>
          </w:tcPr>
          <w:p w14:paraId="343C1BFE"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10A9D8B"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Προστασία σε περιπτώσεις αδικαιολόγητης απόλυσης</w:t>
            </w:r>
          </w:p>
        </w:tc>
        <w:tc>
          <w:tcPr>
            <w:tcW w:w="4395" w:type="dxa"/>
            <w:vMerge/>
            <w:vAlign w:val="center"/>
          </w:tcPr>
          <w:p w14:paraId="0F4A8ECD"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59A81528" w14:textId="77777777" w:rsidTr="00703869">
        <w:trPr>
          <w:trHeight w:val="397"/>
        </w:trPr>
        <w:tc>
          <w:tcPr>
            <w:tcW w:w="1844" w:type="dxa"/>
            <w:vMerge/>
            <w:vAlign w:val="center"/>
          </w:tcPr>
          <w:p w14:paraId="6D35420C"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2F33BEB2"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Δίκαιες και πρόσφορες συνθήκες εργασίας</w:t>
            </w:r>
          </w:p>
        </w:tc>
        <w:tc>
          <w:tcPr>
            <w:tcW w:w="4395" w:type="dxa"/>
            <w:vMerge/>
            <w:vAlign w:val="center"/>
          </w:tcPr>
          <w:p w14:paraId="6F2781B6"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5DE8C24F" w14:textId="77777777" w:rsidTr="00703869">
        <w:trPr>
          <w:trHeight w:val="397"/>
        </w:trPr>
        <w:tc>
          <w:tcPr>
            <w:tcW w:w="1844" w:type="dxa"/>
            <w:vMerge/>
            <w:vAlign w:val="center"/>
          </w:tcPr>
          <w:p w14:paraId="20408B0E"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672364A9"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Απαγόρευση της εργασίας των παιδιών και προστασία των νέων στην εργασία</w:t>
            </w:r>
          </w:p>
        </w:tc>
        <w:tc>
          <w:tcPr>
            <w:tcW w:w="4395" w:type="dxa"/>
            <w:vMerge/>
            <w:vAlign w:val="center"/>
          </w:tcPr>
          <w:p w14:paraId="53D999A9"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6937D9" w14:paraId="7DA1DD1F" w14:textId="77777777" w:rsidTr="00703869">
        <w:trPr>
          <w:trHeight w:val="397"/>
        </w:trPr>
        <w:tc>
          <w:tcPr>
            <w:tcW w:w="1844" w:type="dxa"/>
            <w:vMerge/>
            <w:vAlign w:val="center"/>
          </w:tcPr>
          <w:p w14:paraId="45732957"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6E05C3DF"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rPr>
            </w:pPr>
            <w:r w:rsidRPr="00121F74">
              <w:rPr>
                <w:rFonts w:asciiTheme="minorHAnsi" w:hAnsiTheme="minorHAnsi" w:cstheme="minorHAnsi"/>
                <w:sz w:val="18"/>
                <w:szCs w:val="18"/>
              </w:rPr>
              <w:t>Οικογενειακή και επαγγελματική ζωή</w:t>
            </w:r>
          </w:p>
        </w:tc>
        <w:tc>
          <w:tcPr>
            <w:tcW w:w="4395" w:type="dxa"/>
            <w:vMerge/>
            <w:vAlign w:val="center"/>
          </w:tcPr>
          <w:p w14:paraId="6E3836F9" w14:textId="77777777" w:rsidR="009142E2" w:rsidRPr="00121F74" w:rsidRDefault="009142E2" w:rsidP="00703869">
            <w:pPr>
              <w:spacing w:before="0" w:after="0" w:line="240" w:lineRule="auto"/>
              <w:rPr>
                <w:rFonts w:asciiTheme="minorHAnsi" w:hAnsiTheme="minorHAnsi" w:cstheme="minorHAnsi"/>
                <w:sz w:val="18"/>
                <w:szCs w:val="18"/>
              </w:rPr>
            </w:pPr>
          </w:p>
        </w:tc>
      </w:tr>
      <w:tr w:rsidR="009142E2" w:rsidRPr="0031260F" w14:paraId="3CBC036B" w14:textId="77777777" w:rsidTr="00703869">
        <w:trPr>
          <w:trHeight w:val="397"/>
        </w:trPr>
        <w:tc>
          <w:tcPr>
            <w:tcW w:w="1844" w:type="dxa"/>
            <w:vMerge/>
            <w:vAlign w:val="center"/>
          </w:tcPr>
          <w:p w14:paraId="45ACF967"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17E8CA19"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Κοινωνική ασφάλιση και κοινωνική αρωγή</w:t>
            </w:r>
          </w:p>
        </w:tc>
        <w:tc>
          <w:tcPr>
            <w:tcW w:w="4395" w:type="dxa"/>
            <w:vMerge/>
            <w:vAlign w:val="center"/>
          </w:tcPr>
          <w:p w14:paraId="589DE737"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6937D9" w14:paraId="033BD519" w14:textId="77777777" w:rsidTr="00703869">
        <w:trPr>
          <w:trHeight w:val="397"/>
        </w:trPr>
        <w:tc>
          <w:tcPr>
            <w:tcW w:w="1844" w:type="dxa"/>
            <w:vMerge/>
            <w:vAlign w:val="center"/>
          </w:tcPr>
          <w:p w14:paraId="13DC02EE"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7A691CE1" w14:textId="77777777" w:rsidR="009142E2" w:rsidRPr="00121F74" w:rsidRDefault="009142E2" w:rsidP="009142E2">
            <w:pPr>
              <w:numPr>
                <w:ilvl w:val="0"/>
                <w:numId w:val="1"/>
              </w:numPr>
              <w:spacing w:before="0" w:after="0" w:line="240" w:lineRule="auto"/>
              <w:ind w:left="318" w:hanging="284"/>
              <w:contextualSpacing/>
              <w:rPr>
                <w:rFonts w:asciiTheme="minorHAnsi" w:hAnsiTheme="minorHAnsi" w:cstheme="minorHAnsi"/>
                <w:sz w:val="18"/>
                <w:szCs w:val="18"/>
              </w:rPr>
            </w:pPr>
            <w:r w:rsidRPr="00121F74">
              <w:rPr>
                <w:rFonts w:asciiTheme="minorHAnsi" w:hAnsiTheme="minorHAnsi" w:cstheme="minorHAnsi"/>
                <w:sz w:val="18"/>
                <w:szCs w:val="18"/>
              </w:rPr>
              <w:t>Προστασία της υγείας</w:t>
            </w:r>
          </w:p>
        </w:tc>
        <w:tc>
          <w:tcPr>
            <w:tcW w:w="4395" w:type="dxa"/>
            <w:vMerge/>
            <w:vAlign w:val="center"/>
          </w:tcPr>
          <w:p w14:paraId="2D85DB53" w14:textId="77777777" w:rsidR="009142E2" w:rsidRPr="00121F74" w:rsidRDefault="009142E2" w:rsidP="00703869">
            <w:pPr>
              <w:spacing w:before="0" w:after="0" w:line="240" w:lineRule="auto"/>
              <w:rPr>
                <w:rFonts w:asciiTheme="minorHAnsi" w:hAnsiTheme="minorHAnsi" w:cstheme="minorHAnsi"/>
                <w:sz w:val="18"/>
                <w:szCs w:val="18"/>
              </w:rPr>
            </w:pPr>
          </w:p>
        </w:tc>
      </w:tr>
      <w:tr w:rsidR="009142E2" w:rsidRPr="0031260F" w14:paraId="7205612C" w14:textId="77777777" w:rsidTr="00703869">
        <w:trPr>
          <w:trHeight w:val="397"/>
        </w:trPr>
        <w:tc>
          <w:tcPr>
            <w:tcW w:w="1844" w:type="dxa"/>
            <w:vMerge/>
            <w:vAlign w:val="center"/>
          </w:tcPr>
          <w:p w14:paraId="296AE0AC"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0439EFFF" w14:textId="77777777" w:rsidR="009142E2" w:rsidRPr="00121F74" w:rsidRDefault="009142E2" w:rsidP="009142E2">
            <w:pPr>
              <w:numPr>
                <w:ilvl w:val="0"/>
                <w:numId w:val="1"/>
              </w:numPr>
              <w:spacing w:before="0" w:after="0" w:line="240" w:lineRule="auto"/>
              <w:ind w:left="317" w:hanging="317"/>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Πρόσβαση στις υπηρεσίες γενικού οικονομικού ενδιαφέροντος </w:t>
            </w:r>
          </w:p>
        </w:tc>
        <w:tc>
          <w:tcPr>
            <w:tcW w:w="4395" w:type="dxa"/>
            <w:vMerge/>
            <w:vAlign w:val="center"/>
          </w:tcPr>
          <w:p w14:paraId="3DB8B505"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761C84D8" w14:textId="77777777" w:rsidTr="00703869">
        <w:trPr>
          <w:trHeight w:val="750"/>
        </w:trPr>
        <w:tc>
          <w:tcPr>
            <w:tcW w:w="1844" w:type="dxa"/>
            <w:vMerge/>
            <w:vAlign w:val="center"/>
          </w:tcPr>
          <w:p w14:paraId="536DC573"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353CBF58" w14:textId="77777777" w:rsidR="009142E2" w:rsidRPr="00121F74" w:rsidRDefault="009142E2" w:rsidP="009142E2">
            <w:pPr>
              <w:numPr>
                <w:ilvl w:val="0"/>
                <w:numId w:val="1"/>
              </w:numPr>
              <w:spacing w:before="0" w:after="0" w:line="240" w:lineRule="auto"/>
              <w:ind w:left="317" w:hanging="317"/>
              <w:contextualSpacing/>
              <w:rPr>
                <w:rFonts w:asciiTheme="minorHAnsi" w:hAnsiTheme="minorHAnsi" w:cstheme="minorHAnsi"/>
                <w:sz w:val="18"/>
                <w:szCs w:val="18"/>
              </w:rPr>
            </w:pPr>
            <w:r w:rsidRPr="00121F74">
              <w:rPr>
                <w:rFonts w:asciiTheme="minorHAnsi" w:hAnsiTheme="minorHAnsi" w:cstheme="minorHAnsi"/>
                <w:sz w:val="18"/>
                <w:szCs w:val="18"/>
              </w:rPr>
              <w:t>Προστασία του περιβάλλοντος</w:t>
            </w:r>
          </w:p>
        </w:tc>
        <w:tc>
          <w:tcPr>
            <w:tcW w:w="4395" w:type="dxa"/>
            <w:vAlign w:val="center"/>
          </w:tcPr>
          <w:p w14:paraId="76856264"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Διασφαλίζεται η επίτευξη υψηλού επιπέδου περιβαλλοντικής προστασίας και η βελτίωση της ποιότητας του περιβάλλοντος σύμφωνα με την αρχή της αειφόρου ανάπτυξης;</w:t>
            </w:r>
          </w:p>
        </w:tc>
      </w:tr>
      <w:tr w:rsidR="009142E2" w:rsidRPr="0031260F" w14:paraId="38881AE4" w14:textId="77777777" w:rsidTr="00703869">
        <w:trPr>
          <w:trHeight w:val="451"/>
        </w:trPr>
        <w:tc>
          <w:tcPr>
            <w:tcW w:w="1844" w:type="dxa"/>
            <w:vMerge/>
            <w:vAlign w:val="center"/>
          </w:tcPr>
          <w:p w14:paraId="3F214FAD"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7BFA6767" w14:textId="77777777" w:rsidR="009142E2" w:rsidRPr="00121F74" w:rsidRDefault="009142E2" w:rsidP="009142E2">
            <w:pPr>
              <w:numPr>
                <w:ilvl w:val="0"/>
                <w:numId w:val="1"/>
              </w:numPr>
              <w:spacing w:before="0" w:after="0" w:line="240" w:lineRule="auto"/>
              <w:ind w:left="317" w:hanging="317"/>
              <w:contextualSpacing/>
              <w:rPr>
                <w:rFonts w:asciiTheme="minorHAnsi" w:hAnsiTheme="minorHAnsi" w:cstheme="minorHAnsi"/>
                <w:sz w:val="18"/>
                <w:szCs w:val="18"/>
              </w:rPr>
            </w:pPr>
            <w:r w:rsidRPr="00121F74">
              <w:rPr>
                <w:rFonts w:asciiTheme="minorHAnsi" w:hAnsiTheme="minorHAnsi" w:cstheme="minorHAnsi"/>
                <w:sz w:val="18"/>
                <w:szCs w:val="18"/>
              </w:rPr>
              <w:t>Προστασία του καταναλωτή</w:t>
            </w:r>
          </w:p>
        </w:tc>
        <w:tc>
          <w:tcPr>
            <w:tcW w:w="4395" w:type="dxa"/>
            <w:vAlign w:val="center"/>
          </w:tcPr>
          <w:p w14:paraId="505DC62A"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Υπάρχει συμμόρφωση ως προς την προστασία του καταναλωτή;</w:t>
            </w:r>
          </w:p>
        </w:tc>
      </w:tr>
      <w:tr w:rsidR="009142E2" w:rsidRPr="0031260F" w14:paraId="0012737D" w14:textId="77777777" w:rsidTr="00703869">
        <w:trPr>
          <w:trHeight w:val="340"/>
        </w:trPr>
        <w:tc>
          <w:tcPr>
            <w:tcW w:w="1844" w:type="dxa"/>
            <w:vMerge w:val="restart"/>
            <w:vAlign w:val="center"/>
          </w:tcPr>
          <w:p w14:paraId="587C6A4E"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Τίτλος </w:t>
            </w:r>
            <w:r w:rsidRPr="00121F74">
              <w:rPr>
                <w:rFonts w:asciiTheme="minorHAnsi" w:hAnsiTheme="minorHAnsi" w:cstheme="minorHAnsi"/>
                <w:sz w:val="18"/>
                <w:szCs w:val="18"/>
              </w:rPr>
              <w:t>V</w:t>
            </w:r>
            <w:r w:rsidRPr="00121F74">
              <w:rPr>
                <w:rFonts w:asciiTheme="minorHAnsi" w:hAnsiTheme="minorHAnsi" w:cstheme="minorHAnsi"/>
                <w:sz w:val="18"/>
                <w:szCs w:val="18"/>
                <w:lang w:val="el-GR"/>
              </w:rPr>
              <w:t xml:space="preserve"> </w:t>
            </w:r>
            <w:r w:rsidRPr="00121F74">
              <w:rPr>
                <w:rFonts w:asciiTheme="minorHAnsi" w:hAnsiTheme="minorHAnsi" w:cstheme="minorHAnsi"/>
                <w:b/>
                <w:sz w:val="18"/>
                <w:szCs w:val="18"/>
                <w:lang w:val="el-GR"/>
              </w:rPr>
              <w:t>«ΔΙΚΑΙΩΜΑΤΑ ΤΩΝ ΠΟΛΙΤΩΝ»</w:t>
            </w:r>
          </w:p>
        </w:tc>
        <w:tc>
          <w:tcPr>
            <w:tcW w:w="3538" w:type="dxa"/>
            <w:vAlign w:val="center"/>
          </w:tcPr>
          <w:p w14:paraId="38070522" w14:textId="77777777" w:rsidR="009142E2" w:rsidRPr="00121F74" w:rsidRDefault="009142E2" w:rsidP="009142E2">
            <w:pPr>
              <w:numPr>
                <w:ilvl w:val="0"/>
                <w:numId w:val="1"/>
              </w:numPr>
              <w:spacing w:before="0" w:after="0" w:line="240" w:lineRule="auto"/>
              <w:ind w:left="317" w:hanging="317"/>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Δικαίωμα του εκλέγειν και εκλέγεσθαι στις εκλογές του Ευρωπαϊκού Κοινοβουλίου</w:t>
            </w:r>
          </w:p>
        </w:tc>
        <w:tc>
          <w:tcPr>
            <w:tcW w:w="4395" w:type="dxa"/>
            <w:vAlign w:val="center"/>
          </w:tcPr>
          <w:p w14:paraId="005CB82E"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7EC616C3" w14:textId="77777777" w:rsidTr="00703869">
        <w:trPr>
          <w:trHeight w:val="504"/>
        </w:trPr>
        <w:tc>
          <w:tcPr>
            <w:tcW w:w="1844" w:type="dxa"/>
            <w:vMerge/>
            <w:vAlign w:val="center"/>
          </w:tcPr>
          <w:p w14:paraId="5EE52D6B"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190C5421" w14:textId="77777777" w:rsidR="009142E2" w:rsidRPr="00121F74" w:rsidRDefault="009142E2" w:rsidP="009142E2">
            <w:pPr>
              <w:numPr>
                <w:ilvl w:val="0"/>
                <w:numId w:val="1"/>
              </w:numPr>
              <w:spacing w:before="0" w:after="0" w:line="240" w:lineRule="auto"/>
              <w:ind w:left="317" w:hanging="317"/>
              <w:contextualSpacing/>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Δικαίωμα του εκλέγειν και εκλέγεσθαι στις δημοτικές και κοινοτικές εκλογές </w:t>
            </w:r>
          </w:p>
        </w:tc>
        <w:tc>
          <w:tcPr>
            <w:tcW w:w="4395" w:type="dxa"/>
            <w:vAlign w:val="center"/>
          </w:tcPr>
          <w:p w14:paraId="0904232C"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39EF1C3B" w14:textId="77777777" w:rsidTr="00703869">
        <w:trPr>
          <w:trHeight w:val="340"/>
        </w:trPr>
        <w:tc>
          <w:tcPr>
            <w:tcW w:w="1844" w:type="dxa"/>
            <w:vMerge/>
            <w:vAlign w:val="center"/>
          </w:tcPr>
          <w:p w14:paraId="1064377F"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6FB1B1F7" w14:textId="77777777" w:rsidR="009142E2" w:rsidRPr="00121F74" w:rsidRDefault="009142E2" w:rsidP="009142E2">
            <w:pPr>
              <w:numPr>
                <w:ilvl w:val="0"/>
                <w:numId w:val="1"/>
              </w:numPr>
              <w:spacing w:before="0" w:after="0" w:line="240" w:lineRule="auto"/>
              <w:ind w:left="317" w:hanging="317"/>
              <w:contextualSpacing/>
              <w:rPr>
                <w:rFonts w:asciiTheme="minorHAnsi" w:hAnsiTheme="minorHAnsi" w:cstheme="minorHAnsi"/>
                <w:sz w:val="18"/>
                <w:szCs w:val="18"/>
              </w:rPr>
            </w:pPr>
            <w:r w:rsidRPr="00121F74">
              <w:rPr>
                <w:rFonts w:asciiTheme="minorHAnsi" w:hAnsiTheme="minorHAnsi" w:cstheme="minorHAnsi"/>
                <w:sz w:val="18"/>
                <w:szCs w:val="18"/>
              </w:rPr>
              <w:t>Δικαίωμα χρηστής διοίκησης</w:t>
            </w:r>
          </w:p>
        </w:tc>
        <w:tc>
          <w:tcPr>
            <w:tcW w:w="4395" w:type="dxa"/>
            <w:vMerge w:val="restart"/>
            <w:vAlign w:val="center"/>
          </w:tcPr>
          <w:p w14:paraId="0F053EBA"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Τα εμπλεκόμενα πρόσωπα δικαιούνται αμερόληπτη, δίκαιη και εντός ευλόγου προθεσμίας την εξέταση υποθέσεών τους από τα θεσμικά και λοιπά όργανα και ιδίως διασφαλίζεται τα δικαίωμα της: </w:t>
            </w:r>
          </w:p>
          <w:p w14:paraId="574431EC" w14:textId="77777777" w:rsidR="009142E2" w:rsidRPr="00121F74" w:rsidRDefault="009142E2" w:rsidP="009142E2">
            <w:pPr>
              <w:numPr>
                <w:ilvl w:val="0"/>
                <w:numId w:val="7"/>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προηγούμενης ακρόασης πριν τη λήψη μέτρου σε βάρους τους; </w:t>
            </w:r>
          </w:p>
          <w:p w14:paraId="6E3C0818" w14:textId="77777777" w:rsidR="009142E2" w:rsidRPr="00121F74" w:rsidRDefault="009142E2" w:rsidP="009142E2">
            <w:pPr>
              <w:numPr>
                <w:ilvl w:val="0"/>
                <w:numId w:val="7"/>
              </w:numPr>
              <w:spacing w:before="0" w:after="0" w:line="240" w:lineRule="auto"/>
              <w:ind w:left="322" w:hanging="283"/>
              <w:rPr>
                <w:rFonts w:asciiTheme="minorHAnsi" w:hAnsiTheme="minorHAnsi" w:cstheme="minorHAnsi"/>
                <w:sz w:val="18"/>
                <w:szCs w:val="18"/>
                <w:lang w:val="el-GR"/>
              </w:rPr>
            </w:pPr>
            <w:r w:rsidRPr="00121F74">
              <w:rPr>
                <w:rFonts w:asciiTheme="minorHAnsi" w:hAnsiTheme="minorHAnsi" w:cstheme="minorHAnsi"/>
                <w:sz w:val="18"/>
                <w:szCs w:val="18"/>
                <w:lang w:val="el-GR"/>
              </w:rPr>
              <w:t>πρόσβασης στα σχετικά έγγραφα ή στο φάκελο όπου διατηρούνται, τηρουμένων των νόμιμων συμφερόντων της εμπιστευτικότητας και του επαγγελματικού και επιχειρηματικού απορρήτου;</w:t>
            </w:r>
          </w:p>
          <w:p w14:paraId="100F6700"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Υποχρεώνεται η διοίκηση να αιτιολογεί τις αποφάσεις της; </w:t>
            </w:r>
          </w:p>
        </w:tc>
      </w:tr>
      <w:tr w:rsidR="009142E2" w:rsidRPr="006937D9" w14:paraId="5736093A" w14:textId="77777777" w:rsidTr="00703869">
        <w:trPr>
          <w:trHeight w:val="340"/>
        </w:trPr>
        <w:tc>
          <w:tcPr>
            <w:tcW w:w="1844" w:type="dxa"/>
            <w:vMerge/>
            <w:vAlign w:val="center"/>
          </w:tcPr>
          <w:p w14:paraId="251AC3E0"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ED923F2" w14:textId="77777777" w:rsidR="009142E2" w:rsidRPr="00121F74" w:rsidRDefault="009142E2" w:rsidP="00703869">
            <w:pPr>
              <w:spacing w:before="0" w:after="0" w:line="240" w:lineRule="auto"/>
              <w:rPr>
                <w:rFonts w:asciiTheme="minorHAnsi" w:hAnsiTheme="minorHAnsi" w:cstheme="minorHAnsi"/>
                <w:sz w:val="18"/>
                <w:szCs w:val="18"/>
              </w:rPr>
            </w:pPr>
            <w:r w:rsidRPr="00121F74">
              <w:rPr>
                <w:rFonts w:asciiTheme="minorHAnsi" w:hAnsiTheme="minorHAnsi" w:cstheme="minorHAnsi"/>
                <w:sz w:val="18"/>
                <w:szCs w:val="18"/>
              </w:rPr>
              <w:t>42. Δικαίωμα πρόσβασης στα έγγραφα</w:t>
            </w:r>
          </w:p>
        </w:tc>
        <w:tc>
          <w:tcPr>
            <w:tcW w:w="4395" w:type="dxa"/>
            <w:vMerge/>
            <w:vAlign w:val="center"/>
          </w:tcPr>
          <w:p w14:paraId="3B44BDE7" w14:textId="77777777" w:rsidR="009142E2" w:rsidRPr="00121F74" w:rsidRDefault="009142E2" w:rsidP="00703869">
            <w:pPr>
              <w:spacing w:before="0" w:after="0" w:line="240" w:lineRule="auto"/>
              <w:rPr>
                <w:rFonts w:asciiTheme="minorHAnsi" w:hAnsiTheme="minorHAnsi" w:cstheme="minorHAnsi"/>
                <w:sz w:val="18"/>
                <w:szCs w:val="18"/>
              </w:rPr>
            </w:pPr>
          </w:p>
        </w:tc>
      </w:tr>
      <w:tr w:rsidR="009142E2" w:rsidRPr="006937D9" w14:paraId="22AAF138" w14:textId="77777777" w:rsidTr="00703869">
        <w:trPr>
          <w:trHeight w:val="340"/>
        </w:trPr>
        <w:tc>
          <w:tcPr>
            <w:tcW w:w="1844" w:type="dxa"/>
            <w:vMerge/>
            <w:vAlign w:val="center"/>
          </w:tcPr>
          <w:p w14:paraId="4F0CECC2"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3DE39D87" w14:textId="77777777" w:rsidR="009142E2" w:rsidRPr="00121F74" w:rsidRDefault="009142E2" w:rsidP="00703869">
            <w:pPr>
              <w:spacing w:before="0" w:after="0" w:line="240" w:lineRule="auto"/>
              <w:rPr>
                <w:rFonts w:asciiTheme="minorHAnsi" w:hAnsiTheme="minorHAnsi" w:cstheme="minorHAnsi"/>
                <w:sz w:val="18"/>
                <w:szCs w:val="18"/>
              </w:rPr>
            </w:pPr>
            <w:r w:rsidRPr="00121F74">
              <w:rPr>
                <w:rFonts w:asciiTheme="minorHAnsi" w:hAnsiTheme="minorHAnsi" w:cstheme="minorHAnsi"/>
                <w:sz w:val="18"/>
                <w:szCs w:val="18"/>
              </w:rPr>
              <w:t>43. Ευρωπαίος Διαμεσολαβητής</w:t>
            </w:r>
          </w:p>
        </w:tc>
        <w:tc>
          <w:tcPr>
            <w:tcW w:w="4395" w:type="dxa"/>
            <w:vAlign w:val="center"/>
          </w:tcPr>
          <w:p w14:paraId="601F0FB8" w14:textId="77777777" w:rsidR="009142E2" w:rsidRPr="00121F74" w:rsidRDefault="009142E2" w:rsidP="00703869">
            <w:pPr>
              <w:spacing w:before="0" w:after="0" w:line="240" w:lineRule="auto"/>
              <w:rPr>
                <w:rFonts w:asciiTheme="minorHAnsi" w:hAnsiTheme="minorHAnsi" w:cstheme="minorHAnsi"/>
                <w:sz w:val="18"/>
                <w:szCs w:val="18"/>
              </w:rPr>
            </w:pPr>
          </w:p>
        </w:tc>
      </w:tr>
      <w:tr w:rsidR="009142E2" w:rsidRPr="006937D9" w14:paraId="723931E9" w14:textId="77777777" w:rsidTr="00703869">
        <w:trPr>
          <w:trHeight w:val="340"/>
        </w:trPr>
        <w:tc>
          <w:tcPr>
            <w:tcW w:w="1844" w:type="dxa"/>
            <w:vMerge/>
            <w:vAlign w:val="center"/>
          </w:tcPr>
          <w:p w14:paraId="12F4AFFD"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50102AB1" w14:textId="77777777" w:rsidR="009142E2" w:rsidRPr="00121F74" w:rsidRDefault="009142E2" w:rsidP="00703869">
            <w:pPr>
              <w:spacing w:before="0" w:after="0" w:line="240" w:lineRule="auto"/>
              <w:rPr>
                <w:rFonts w:asciiTheme="minorHAnsi" w:hAnsiTheme="minorHAnsi" w:cstheme="minorHAnsi"/>
                <w:sz w:val="18"/>
                <w:szCs w:val="18"/>
              </w:rPr>
            </w:pPr>
            <w:r w:rsidRPr="00121F74">
              <w:rPr>
                <w:rFonts w:asciiTheme="minorHAnsi" w:hAnsiTheme="minorHAnsi" w:cstheme="minorHAnsi"/>
                <w:sz w:val="18"/>
                <w:szCs w:val="18"/>
              </w:rPr>
              <w:t>44. Δικαίωμα αναφοράς</w:t>
            </w:r>
          </w:p>
        </w:tc>
        <w:tc>
          <w:tcPr>
            <w:tcW w:w="4395" w:type="dxa"/>
            <w:vAlign w:val="center"/>
          </w:tcPr>
          <w:p w14:paraId="1742A178" w14:textId="77777777" w:rsidR="009142E2" w:rsidRPr="00121F74" w:rsidRDefault="009142E2" w:rsidP="00703869">
            <w:pPr>
              <w:spacing w:before="0" w:after="0" w:line="240" w:lineRule="auto"/>
              <w:rPr>
                <w:rFonts w:asciiTheme="minorHAnsi" w:hAnsiTheme="minorHAnsi" w:cstheme="minorHAnsi"/>
                <w:sz w:val="18"/>
                <w:szCs w:val="18"/>
              </w:rPr>
            </w:pPr>
          </w:p>
        </w:tc>
      </w:tr>
      <w:tr w:rsidR="009142E2" w:rsidRPr="0031260F" w14:paraId="21FE262D" w14:textId="77777777" w:rsidTr="00703869">
        <w:trPr>
          <w:trHeight w:val="340"/>
        </w:trPr>
        <w:tc>
          <w:tcPr>
            <w:tcW w:w="1844" w:type="dxa"/>
            <w:vMerge/>
            <w:vAlign w:val="center"/>
          </w:tcPr>
          <w:p w14:paraId="173CB620" w14:textId="77777777" w:rsidR="009142E2" w:rsidRPr="00121F74" w:rsidRDefault="009142E2" w:rsidP="00703869">
            <w:pPr>
              <w:spacing w:before="0" w:after="0" w:line="240" w:lineRule="auto"/>
              <w:jc w:val="center"/>
              <w:rPr>
                <w:rFonts w:asciiTheme="minorHAnsi" w:hAnsiTheme="minorHAnsi" w:cstheme="minorHAnsi"/>
                <w:sz w:val="18"/>
                <w:szCs w:val="18"/>
              </w:rPr>
            </w:pPr>
          </w:p>
        </w:tc>
        <w:tc>
          <w:tcPr>
            <w:tcW w:w="3538" w:type="dxa"/>
            <w:vAlign w:val="center"/>
          </w:tcPr>
          <w:p w14:paraId="0F23B47B" w14:textId="77777777" w:rsidR="009142E2" w:rsidRPr="00121F74" w:rsidRDefault="009142E2" w:rsidP="00703869">
            <w:pPr>
              <w:spacing w:before="0" w:after="0" w:line="240" w:lineRule="auto"/>
              <w:rPr>
                <w:rFonts w:asciiTheme="minorHAnsi" w:hAnsiTheme="minorHAnsi" w:cstheme="minorHAnsi"/>
                <w:sz w:val="18"/>
                <w:szCs w:val="18"/>
              </w:rPr>
            </w:pPr>
            <w:r w:rsidRPr="00121F74">
              <w:rPr>
                <w:rFonts w:asciiTheme="minorHAnsi" w:hAnsiTheme="minorHAnsi" w:cstheme="minorHAnsi"/>
                <w:sz w:val="18"/>
                <w:szCs w:val="18"/>
              </w:rPr>
              <w:t>45. Ελευθερία κυκλοφορίας και διαμονής</w:t>
            </w:r>
          </w:p>
        </w:tc>
        <w:tc>
          <w:tcPr>
            <w:tcW w:w="4395" w:type="dxa"/>
            <w:vAlign w:val="center"/>
          </w:tcPr>
          <w:p w14:paraId="67CF97C4"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Θίγεται το δικαίωμα της ελεύθερης κυκλοφορίας των πολιτών στο έδαφος των Κ-Μ (συμπεριλαμβανομένων και των υπηκόων τρίτων χωρών που διαμένουν νόμιμα στο έδαφος κράτους μέλους και τους χορηγείται η ελευθερία κυκλοφορίας και διαμονής);</w:t>
            </w:r>
          </w:p>
        </w:tc>
      </w:tr>
      <w:tr w:rsidR="009142E2" w:rsidRPr="006937D9" w14:paraId="6DBEAFF9" w14:textId="77777777" w:rsidTr="00703869">
        <w:trPr>
          <w:trHeight w:val="340"/>
        </w:trPr>
        <w:tc>
          <w:tcPr>
            <w:tcW w:w="1844" w:type="dxa"/>
            <w:vMerge/>
            <w:vAlign w:val="center"/>
          </w:tcPr>
          <w:p w14:paraId="2E0B5C5F"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4E3820E" w14:textId="77777777" w:rsidR="009142E2" w:rsidRPr="00121F74" w:rsidRDefault="009142E2" w:rsidP="00703869">
            <w:pPr>
              <w:spacing w:before="0" w:after="0" w:line="240" w:lineRule="auto"/>
              <w:rPr>
                <w:rFonts w:asciiTheme="minorHAnsi" w:hAnsiTheme="minorHAnsi" w:cstheme="minorHAnsi"/>
                <w:sz w:val="18"/>
                <w:szCs w:val="18"/>
              </w:rPr>
            </w:pPr>
            <w:r w:rsidRPr="00121F74">
              <w:rPr>
                <w:rFonts w:asciiTheme="minorHAnsi" w:hAnsiTheme="minorHAnsi" w:cstheme="minorHAnsi"/>
                <w:sz w:val="18"/>
                <w:szCs w:val="18"/>
              </w:rPr>
              <w:t>46. Διπλωματική και προξενική προστασία</w:t>
            </w:r>
          </w:p>
        </w:tc>
        <w:tc>
          <w:tcPr>
            <w:tcW w:w="4395" w:type="dxa"/>
            <w:vAlign w:val="center"/>
          </w:tcPr>
          <w:p w14:paraId="270108E3" w14:textId="77777777" w:rsidR="009142E2" w:rsidRPr="00121F74" w:rsidRDefault="009142E2" w:rsidP="00703869">
            <w:pPr>
              <w:spacing w:before="0" w:after="0" w:line="240" w:lineRule="auto"/>
              <w:rPr>
                <w:rFonts w:asciiTheme="minorHAnsi" w:hAnsiTheme="minorHAnsi" w:cstheme="minorHAnsi"/>
                <w:sz w:val="18"/>
                <w:szCs w:val="18"/>
              </w:rPr>
            </w:pPr>
          </w:p>
        </w:tc>
      </w:tr>
      <w:tr w:rsidR="009142E2" w:rsidRPr="0031260F" w14:paraId="609AB0D6" w14:textId="77777777" w:rsidTr="00703869">
        <w:trPr>
          <w:trHeight w:val="510"/>
        </w:trPr>
        <w:tc>
          <w:tcPr>
            <w:tcW w:w="1844" w:type="dxa"/>
            <w:vMerge w:val="restart"/>
            <w:vAlign w:val="center"/>
          </w:tcPr>
          <w:p w14:paraId="4771D68C" w14:textId="77777777" w:rsidR="009142E2" w:rsidRPr="00121F74" w:rsidRDefault="009142E2" w:rsidP="00703869">
            <w:pPr>
              <w:spacing w:before="0" w:after="0" w:line="240" w:lineRule="auto"/>
              <w:jc w:val="center"/>
              <w:rPr>
                <w:rFonts w:asciiTheme="minorHAnsi" w:hAnsiTheme="minorHAnsi" w:cstheme="minorHAnsi"/>
                <w:sz w:val="18"/>
                <w:szCs w:val="18"/>
              </w:rPr>
            </w:pPr>
            <w:r w:rsidRPr="00121F74">
              <w:rPr>
                <w:rFonts w:asciiTheme="minorHAnsi" w:hAnsiTheme="minorHAnsi" w:cstheme="minorHAnsi"/>
                <w:sz w:val="18"/>
                <w:szCs w:val="18"/>
              </w:rPr>
              <w:t xml:space="preserve">Τίτλος VI </w:t>
            </w:r>
            <w:r w:rsidRPr="00121F74">
              <w:rPr>
                <w:rFonts w:asciiTheme="minorHAnsi" w:hAnsiTheme="minorHAnsi" w:cstheme="minorHAnsi"/>
                <w:b/>
                <w:sz w:val="18"/>
                <w:szCs w:val="18"/>
              </w:rPr>
              <w:t>«ΔΙΚΑΙΟΣΥΝΗ»</w:t>
            </w:r>
          </w:p>
        </w:tc>
        <w:tc>
          <w:tcPr>
            <w:tcW w:w="3538" w:type="dxa"/>
            <w:vAlign w:val="center"/>
          </w:tcPr>
          <w:p w14:paraId="754092B2"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47. Δικαίωμα πραγματικής προσφυγής και αμερόληπτου δικαστηρίου </w:t>
            </w:r>
          </w:p>
        </w:tc>
        <w:tc>
          <w:tcPr>
            <w:tcW w:w="4395" w:type="dxa"/>
            <w:vMerge w:val="restart"/>
            <w:vAlign w:val="center"/>
          </w:tcPr>
          <w:p w14:paraId="4948AEB3"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Θίγεται το δικαίωμα της προσφυγής των πολιτών στη δικαιοσύνη;</w:t>
            </w:r>
          </w:p>
          <w:p w14:paraId="0462E292"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Προβλέπεται το δικαίωμα πραγματικής προσφυγής ενώπιον δικαστηρίου, στην περίπτωση που θίγονται δικαιώματα και ελευθερίες;</w:t>
            </w:r>
          </w:p>
        </w:tc>
      </w:tr>
      <w:tr w:rsidR="009142E2" w:rsidRPr="0031260F" w14:paraId="7ACDF8E6" w14:textId="77777777" w:rsidTr="00703869">
        <w:trPr>
          <w:trHeight w:val="510"/>
        </w:trPr>
        <w:tc>
          <w:tcPr>
            <w:tcW w:w="1844" w:type="dxa"/>
            <w:vMerge/>
            <w:vAlign w:val="center"/>
          </w:tcPr>
          <w:p w14:paraId="297EEB9E"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521D921"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48. Τεκμήριο αθωότητας και δικαιώματα της υπεράσπισης</w:t>
            </w:r>
          </w:p>
        </w:tc>
        <w:tc>
          <w:tcPr>
            <w:tcW w:w="4395" w:type="dxa"/>
            <w:vMerge/>
            <w:vAlign w:val="center"/>
          </w:tcPr>
          <w:p w14:paraId="7E937A76"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4294C378" w14:textId="77777777" w:rsidTr="00703869">
        <w:trPr>
          <w:trHeight w:val="510"/>
        </w:trPr>
        <w:tc>
          <w:tcPr>
            <w:tcW w:w="1844" w:type="dxa"/>
            <w:vMerge/>
            <w:vAlign w:val="center"/>
          </w:tcPr>
          <w:p w14:paraId="4AD28F75"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0AD657BF"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49. Αρχές της νομιμότητας και της αναλογικότητας αξιοποίνων πράξεων και ποινών </w:t>
            </w:r>
          </w:p>
        </w:tc>
        <w:tc>
          <w:tcPr>
            <w:tcW w:w="4395" w:type="dxa"/>
            <w:vMerge/>
            <w:vAlign w:val="center"/>
          </w:tcPr>
          <w:p w14:paraId="5BF0DE80"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r w:rsidR="009142E2" w:rsidRPr="0031260F" w14:paraId="3968E2C8" w14:textId="77777777" w:rsidTr="00703869">
        <w:trPr>
          <w:trHeight w:val="510"/>
        </w:trPr>
        <w:tc>
          <w:tcPr>
            <w:tcW w:w="1844" w:type="dxa"/>
            <w:vMerge/>
            <w:vAlign w:val="center"/>
          </w:tcPr>
          <w:p w14:paraId="601BACCE" w14:textId="77777777" w:rsidR="009142E2" w:rsidRPr="00121F74" w:rsidRDefault="009142E2" w:rsidP="00703869">
            <w:pPr>
              <w:spacing w:before="0" w:after="0" w:line="240" w:lineRule="auto"/>
              <w:jc w:val="center"/>
              <w:rPr>
                <w:rFonts w:asciiTheme="minorHAnsi" w:hAnsiTheme="minorHAnsi" w:cstheme="minorHAnsi"/>
                <w:sz w:val="18"/>
                <w:szCs w:val="18"/>
                <w:lang w:val="el-GR"/>
              </w:rPr>
            </w:pPr>
          </w:p>
        </w:tc>
        <w:tc>
          <w:tcPr>
            <w:tcW w:w="3538" w:type="dxa"/>
            <w:vAlign w:val="center"/>
          </w:tcPr>
          <w:p w14:paraId="20C14F5A" w14:textId="77777777" w:rsidR="009142E2" w:rsidRPr="00121F74" w:rsidRDefault="009142E2" w:rsidP="00703869">
            <w:pPr>
              <w:spacing w:before="0" w:after="0" w:line="240" w:lineRule="auto"/>
              <w:rPr>
                <w:rFonts w:asciiTheme="minorHAnsi" w:hAnsiTheme="minorHAnsi" w:cstheme="minorHAnsi"/>
                <w:sz w:val="18"/>
                <w:szCs w:val="18"/>
                <w:lang w:val="el-GR"/>
              </w:rPr>
            </w:pPr>
            <w:r w:rsidRPr="00121F74">
              <w:rPr>
                <w:rFonts w:asciiTheme="minorHAnsi" w:hAnsiTheme="minorHAnsi" w:cstheme="minorHAnsi"/>
                <w:sz w:val="18"/>
                <w:szCs w:val="18"/>
                <w:lang w:val="el-GR"/>
              </w:rPr>
              <w:t xml:space="preserve">50. Δικαίωμα του προσώπου να  μην δικάζεται ή να μην τιμωρείται ποινικά δύο φορές για την ίδια αξιόποινη πράξη </w:t>
            </w:r>
          </w:p>
        </w:tc>
        <w:tc>
          <w:tcPr>
            <w:tcW w:w="4395" w:type="dxa"/>
            <w:vMerge/>
            <w:vAlign w:val="center"/>
          </w:tcPr>
          <w:p w14:paraId="330DF47B" w14:textId="77777777" w:rsidR="009142E2" w:rsidRPr="00121F74" w:rsidRDefault="009142E2" w:rsidP="00703869">
            <w:pPr>
              <w:spacing w:before="0" w:after="0" w:line="240" w:lineRule="auto"/>
              <w:rPr>
                <w:rFonts w:asciiTheme="minorHAnsi" w:hAnsiTheme="minorHAnsi" w:cstheme="minorHAnsi"/>
                <w:sz w:val="18"/>
                <w:szCs w:val="18"/>
                <w:lang w:val="el-GR"/>
              </w:rPr>
            </w:pPr>
          </w:p>
        </w:tc>
      </w:tr>
    </w:tbl>
    <w:p w14:paraId="07D0F32B" w14:textId="77777777" w:rsidR="009142E2" w:rsidRPr="006937D9" w:rsidRDefault="009142E2" w:rsidP="009142E2">
      <w:pPr>
        <w:spacing w:line="288" w:lineRule="auto"/>
        <w:ind w:right="709"/>
        <w:rPr>
          <w:rFonts w:asciiTheme="minorHAnsi" w:hAnsiTheme="minorHAnsi" w:cstheme="minorHAnsi"/>
          <w:sz w:val="22"/>
          <w:szCs w:val="22"/>
          <w:lang w:val="el-GR"/>
        </w:rPr>
      </w:pPr>
      <w:r w:rsidRPr="006937D9">
        <w:rPr>
          <w:rFonts w:asciiTheme="minorHAnsi" w:hAnsiTheme="minorHAnsi" w:cstheme="minorHAnsi"/>
          <w:sz w:val="22"/>
          <w:szCs w:val="22"/>
          <w:lang w:val="el-GR"/>
        </w:rPr>
        <w:t xml:space="preserve">* Τα δικαιώματα 39, 40, 43, 46, 48, 49 και 50 δεν συνδέονται με πράξεις που χρηματοδοτούνται από το ΕΣΠΑ 2021-2027. Διασφαλίζονται ωστόσο από το εθνικό θεσμικό πλαίσιο. Το δικαίωμα 46 συνδέεται με το Ταμείο Εσωτερικής Ασφάλειας και το Μέσο Χρηματοδοτικής Στήριξης για τη Διαχείριση των Συνόρων και την Πολιτική Θεωρήσεων  </w:t>
      </w:r>
    </w:p>
    <w:p w14:paraId="2D687C29" w14:textId="169CC775" w:rsidR="004D58F0" w:rsidRPr="009142E2" w:rsidRDefault="009142E2" w:rsidP="009142E2">
      <w:pPr>
        <w:spacing w:line="288" w:lineRule="auto"/>
        <w:ind w:right="709"/>
        <w:rPr>
          <w:lang w:val="el-GR"/>
        </w:rPr>
      </w:pPr>
      <w:r w:rsidRPr="006937D9">
        <w:rPr>
          <w:rFonts w:asciiTheme="minorHAnsi" w:hAnsiTheme="minorHAnsi" w:cstheme="minorHAnsi"/>
          <w:sz w:val="22"/>
          <w:szCs w:val="22"/>
          <w:lang w:val="el-GR"/>
        </w:rPr>
        <w:t>** Τα δικαιώματα τα σχετικά με την ανθρώπινη αξιοπρέπεια (1 έως 5) είναι απόλυτα δικαιώματα που δεν υπόκεινται σε κανένα περιορισμό. Στα απόλυτα δικαιώματα περιλαμβάνονται επίσης και το 49 και το 50. Τα δικαιώματα 1 έως 5 δεν νοείται ότι μπορούν να παραβιαστούν από τις πράξεις Προγραμμάτων του ΕΣΠΑ 2021-2027 ούτε και από τα άλλα Ταμεία του Καν. 1060/2021</w:t>
      </w:r>
    </w:p>
    <w:sectPr w:rsidR="004D58F0" w:rsidRPr="009142E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E1BEC" w14:textId="77777777" w:rsidR="005A5E36" w:rsidRDefault="005A5E36" w:rsidP="009142E2">
      <w:pPr>
        <w:spacing w:before="0" w:after="0" w:line="240" w:lineRule="auto"/>
      </w:pPr>
      <w:r>
        <w:separator/>
      </w:r>
    </w:p>
  </w:endnote>
  <w:endnote w:type="continuationSeparator" w:id="0">
    <w:p w14:paraId="26CF2A32" w14:textId="77777777" w:rsidR="005A5E36" w:rsidRDefault="005A5E36" w:rsidP="009142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FEFD" w14:textId="4A4649A4" w:rsidR="009142E2" w:rsidRDefault="009142E2">
    <w:pPr>
      <w:pStyle w:val="Footer"/>
    </w:pPr>
    <w:r>
      <w:rPr>
        <w:noProof/>
        <w:lang w:val="el-GR" w:eastAsia="el-GR"/>
      </w:rPr>
      <w:drawing>
        <wp:inline distT="0" distB="0" distL="0" distR="0" wp14:anchorId="0583EBAD" wp14:editId="49E4A1E6">
          <wp:extent cx="5274310" cy="555191"/>
          <wp:effectExtent l="0" t="0" r="2540" b="0"/>
          <wp:docPr id="138599375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55191"/>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AE3A2" w14:textId="77777777" w:rsidR="005A5E36" w:rsidRDefault="005A5E36" w:rsidP="009142E2">
      <w:pPr>
        <w:spacing w:before="0" w:after="0" w:line="240" w:lineRule="auto"/>
      </w:pPr>
      <w:r>
        <w:separator/>
      </w:r>
    </w:p>
  </w:footnote>
  <w:footnote w:type="continuationSeparator" w:id="0">
    <w:p w14:paraId="058216E0" w14:textId="77777777" w:rsidR="005A5E36" w:rsidRDefault="005A5E36" w:rsidP="009142E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13AC"/>
    <w:multiLevelType w:val="hybridMultilevel"/>
    <w:tmpl w:val="97CCE7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C4018C"/>
    <w:multiLevelType w:val="hybridMultilevel"/>
    <w:tmpl w:val="E80CA0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EB1202"/>
    <w:multiLevelType w:val="hybridMultilevel"/>
    <w:tmpl w:val="FA90FC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F9504C8"/>
    <w:multiLevelType w:val="hybridMultilevel"/>
    <w:tmpl w:val="4E3606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D101873"/>
    <w:multiLevelType w:val="hybridMultilevel"/>
    <w:tmpl w:val="9828ADAC"/>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2ED074C"/>
    <w:multiLevelType w:val="hybridMultilevel"/>
    <w:tmpl w:val="32A084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571C13FF"/>
    <w:multiLevelType w:val="hybridMultilevel"/>
    <w:tmpl w:val="8CBEFD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95474234">
    <w:abstractNumId w:val="4"/>
  </w:num>
  <w:num w:numId="2" w16cid:durableId="1587375720">
    <w:abstractNumId w:val="3"/>
  </w:num>
  <w:num w:numId="3" w16cid:durableId="1239902379">
    <w:abstractNumId w:val="6"/>
  </w:num>
  <w:num w:numId="4" w16cid:durableId="701784025">
    <w:abstractNumId w:val="0"/>
  </w:num>
  <w:num w:numId="5" w16cid:durableId="1096512540">
    <w:abstractNumId w:val="5"/>
  </w:num>
  <w:num w:numId="6" w16cid:durableId="1718040559">
    <w:abstractNumId w:val="1"/>
  </w:num>
  <w:num w:numId="7" w16cid:durableId="1040594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7E"/>
    <w:rsid w:val="004D58F0"/>
    <w:rsid w:val="005A5E36"/>
    <w:rsid w:val="006F0E7E"/>
    <w:rsid w:val="009142E2"/>
    <w:rsid w:val="00AA6E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4A1C3-8BB5-47FE-BC0D-BF4B1725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2E2"/>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Heading1">
    <w:name w:val="heading 1"/>
    <w:basedOn w:val="Normal"/>
    <w:next w:val="Normal"/>
    <w:link w:val="Heading1Char"/>
    <w:uiPriority w:val="9"/>
    <w:qFormat/>
    <w:rsid w:val="006F0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F0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F0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E7E"/>
    <w:rPr>
      <w:rFonts w:eastAsiaTheme="majorEastAsia" w:cstheme="majorBidi"/>
      <w:color w:val="272727" w:themeColor="text1" w:themeTint="D8"/>
    </w:rPr>
  </w:style>
  <w:style w:type="paragraph" w:styleId="Title">
    <w:name w:val="Title"/>
    <w:basedOn w:val="Normal"/>
    <w:next w:val="Normal"/>
    <w:link w:val="TitleChar"/>
    <w:uiPriority w:val="10"/>
    <w:qFormat/>
    <w:rsid w:val="006F0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E7E"/>
    <w:pPr>
      <w:spacing w:before="160"/>
      <w:jc w:val="center"/>
    </w:pPr>
    <w:rPr>
      <w:i/>
      <w:iCs/>
      <w:color w:val="404040" w:themeColor="text1" w:themeTint="BF"/>
    </w:rPr>
  </w:style>
  <w:style w:type="character" w:customStyle="1" w:styleId="QuoteChar">
    <w:name w:val="Quote Char"/>
    <w:basedOn w:val="DefaultParagraphFont"/>
    <w:link w:val="Quote"/>
    <w:uiPriority w:val="29"/>
    <w:rsid w:val="006F0E7E"/>
    <w:rPr>
      <w:i/>
      <w:iCs/>
      <w:color w:val="404040" w:themeColor="text1" w:themeTint="BF"/>
    </w:rPr>
  </w:style>
  <w:style w:type="paragraph" w:styleId="ListParagraph">
    <w:name w:val="List Paragraph"/>
    <w:basedOn w:val="Normal"/>
    <w:uiPriority w:val="34"/>
    <w:qFormat/>
    <w:rsid w:val="006F0E7E"/>
    <w:pPr>
      <w:ind w:left="720"/>
      <w:contextualSpacing/>
    </w:pPr>
  </w:style>
  <w:style w:type="character" w:styleId="IntenseEmphasis">
    <w:name w:val="Intense Emphasis"/>
    <w:basedOn w:val="DefaultParagraphFont"/>
    <w:uiPriority w:val="21"/>
    <w:qFormat/>
    <w:rsid w:val="006F0E7E"/>
    <w:rPr>
      <w:i/>
      <w:iCs/>
      <w:color w:val="0F4761" w:themeColor="accent1" w:themeShade="BF"/>
    </w:rPr>
  </w:style>
  <w:style w:type="paragraph" w:styleId="IntenseQuote">
    <w:name w:val="Intense Quote"/>
    <w:basedOn w:val="Normal"/>
    <w:next w:val="Normal"/>
    <w:link w:val="IntenseQuoteChar"/>
    <w:uiPriority w:val="30"/>
    <w:qFormat/>
    <w:rsid w:val="006F0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E7E"/>
    <w:rPr>
      <w:i/>
      <w:iCs/>
      <w:color w:val="0F4761" w:themeColor="accent1" w:themeShade="BF"/>
    </w:rPr>
  </w:style>
  <w:style w:type="character" w:styleId="IntenseReference">
    <w:name w:val="Intense Reference"/>
    <w:basedOn w:val="DefaultParagraphFont"/>
    <w:uiPriority w:val="32"/>
    <w:qFormat/>
    <w:rsid w:val="006F0E7E"/>
    <w:rPr>
      <w:b/>
      <w:bCs/>
      <w:smallCaps/>
      <w:color w:val="0F4761" w:themeColor="accent1" w:themeShade="BF"/>
      <w:spacing w:val="5"/>
    </w:rPr>
  </w:style>
  <w:style w:type="table" w:styleId="TableGrid">
    <w:name w:val="Table Grid"/>
    <w:basedOn w:val="TableNormal"/>
    <w:uiPriority w:val="59"/>
    <w:rsid w:val="009142E2"/>
    <w:pPr>
      <w:spacing w:before="120" w:after="120" w:line="320" w:lineRule="atLeast"/>
      <w:jc w:val="both"/>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42E2"/>
    <w:pPr>
      <w:tabs>
        <w:tab w:val="center" w:pos="4153"/>
        <w:tab w:val="right" w:pos="8306"/>
      </w:tabs>
      <w:spacing w:before="0" w:after="0" w:line="240" w:lineRule="auto"/>
    </w:pPr>
  </w:style>
  <w:style w:type="character" w:customStyle="1" w:styleId="HeaderChar">
    <w:name w:val="Header Char"/>
    <w:basedOn w:val="DefaultParagraphFont"/>
    <w:link w:val="Header"/>
    <w:uiPriority w:val="99"/>
    <w:rsid w:val="009142E2"/>
    <w:rPr>
      <w:rFonts w:ascii="Verdana" w:eastAsia="Times New Roman" w:hAnsi="Verdana" w:cs="Times New Roman"/>
      <w:kern w:val="0"/>
      <w:sz w:val="20"/>
      <w:szCs w:val="24"/>
      <w:lang w:val="en-US"/>
      <w14:ligatures w14:val="none"/>
    </w:rPr>
  </w:style>
  <w:style w:type="paragraph" w:styleId="Footer">
    <w:name w:val="footer"/>
    <w:basedOn w:val="Normal"/>
    <w:link w:val="FooterChar"/>
    <w:uiPriority w:val="99"/>
    <w:unhideWhenUsed/>
    <w:rsid w:val="009142E2"/>
    <w:pPr>
      <w:tabs>
        <w:tab w:val="center" w:pos="4153"/>
        <w:tab w:val="right" w:pos="8306"/>
      </w:tabs>
      <w:spacing w:before="0" w:after="0" w:line="240" w:lineRule="auto"/>
    </w:pPr>
  </w:style>
  <w:style w:type="character" w:customStyle="1" w:styleId="FooterChar">
    <w:name w:val="Footer Char"/>
    <w:basedOn w:val="DefaultParagraphFont"/>
    <w:link w:val="Footer"/>
    <w:uiPriority w:val="99"/>
    <w:rsid w:val="009142E2"/>
    <w:rPr>
      <w:rFonts w:ascii="Verdana" w:eastAsia="Times New Roman" w:hAnsi="Verdana" w:cs="Times New Roman"/>
      <w:kern w:val="0"/>
      <w:sz w:val="20"/>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6250</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Γεώργιος</dc:creator>
  <cp:keywords/>
  <dc:description/>
  <cp:lastModifiedBy>Θεοδώρου Γεώργιος</cp:lastModifiedBy>
  <cp:revision>2</cp:revision>
  <dcterms:created xsi:type="dcterms:W3CDTF">2026-03-10T14:32:00Z</dcterms:created>
  <dcterms:modified xsi:type="dcterms:W3CDTF">2026-03-10T14:33:00Z</dcterms:modified>
</cp:coreProperties>
</file>